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50D" w:rsidRPr="00A51656" w:rsidRDefault="00065C48" w:rsidP="0007250D">
      <w:pPr>
        <w:ind w:left="1985" w:right="1274"/>
        <w:jc w:val="both"/>
        <w:rPr>
          <w:rFonts w:ascii="Arial" w:hAnsi="Arial" w:cs="Arial"/>
          <w:i/>
          <w:sz w:val="22"/>
          <w:szCs w:val="22"/>
        </w:rPr>
      </w:pPr>
      <w:r w:rsidRPr="00065C48">
        <w:rPr>
          <w:rFonts w:ascii="Tahoma" w:hAnsi="Tahoma" w:cs="Tahoma"/>
          <w:b/>
          <w:i/>
          <w:sz w:val="22"/>
          <w:szCs w:val="22"/>
        </w:rPr>
        <w:t>Sumilla:</w:t>
      </w:r>
      <w:r w:rsidRPr="00065C48">
        <w:rPr>
          <w:rFonts w:ascii="Tahoma" w:hAnsi="Tahoma" w:cs="Tahoma"/>
          <w:i/>
          <w:sz w:val="22"/>
          <w:szCs w:val="22"/>
        </w:rPr>
        <w:t xml:space="preserve"> “</w:t>
      </w:r>
      <w:r w:rsidR="0007250D" w:rsidRPr="00A51656">
        <w:rPr>
          <w:rFonts w:ascii="Arial" w:hAnsi="Arial" w:cs="Arial"/>
          <w:i/>
          <w:sz w:val="22"/>
          <w:szCs w:val="22"/>
        </w:rPr>
        <w:t xml:space="preserve">No se configura la infracción </w:t>
      </w:r>
      <w:r w:rsidR="0007250D">
        <w:rPr>
          <w:rFonts w:ascii="Arial" w:hAnsi="Arial" w:cs="Arial"/>
          <w:i/>
          <w:sz w:val="22"/>
          <w:szCs w:val="22"/>
        </w:rPr>
        <w:t xml:space="preserve">consistente en la resolución del contrato </w:t>
      </w:r>
      <w:r w:rsidR="0007250D" w:rsidRPr="00A51656">
        <w:rPr>
          <w:rFonts w:ascii="Arial" w:hAnsi="Arial" w:cs="Arial"/>
          <w:i/>
          <w:sz w:val="22"/>
          <w:szCs w:val="22"/>
        </w:rPr>
        <w:t xml:space="preserve">por incumplimiento injustificado de las obligaciones asumidas por el contratista, si </w:t>
      </w:r>
      <w:smartTag w:uri="urn:schemas-microsoft-com:office:smarttags" w:element="PersonName">
        <w:smartTagPr>
          <w:attr w:name="ProductID" w:val="la Entidad"/>
        </w:smartTagPr>
        <w:r w:rsidR="0007250D" w:rsidRPr="00A51656">
          <w:rPr>
            <w:rFonts w:ascii="Arial" w:hAnsi="Arial" w:cs="Arial"/>
            <w:i/>
            <w:sz w:val="22"/>
            <w:szCs w:val="22"/>
          </w:rPr>
          <w:t>la Entidad</w:t>
        </w:r>
      </w:smartTag>
      <w:r w:rsidR="0007250D" w:rsidRPr="00A51656">
        <w:rPr>
          <w:rFonts w:ascii="Arial" w:hAnsi="Arial" w:cs="Arial"/>
          <w:i/>
          <w:sz w:val="22"/>
          <w:szCs w:val="22"/>
        </w:rPr>
        <w:t xml:space="preserve"> no ha seguido el procedimiento establecido para proceder a dicha resolución.</w:t>
      </w:r>
      <w:r w:rsidR="0007250D">
        <w:rPr>
          <w:rFonts w:ascii="Arial" w:hAnsi="Arial" w:cs="Arial"/>
          <w:i/>
          <w:sz w:val="22"/>
          <w:szCs w:val="22"/>
        </w:rPr>
        <w:t>”</w:t>
      </w:r>
    </w:p>
    <w:p w:rsidR="00065C48" w:rsidRPr="00065C48" w:rsidRDefault="00065C48" w:rsidP="0007250D">
      <w:pPr>
        <w:ind w:left="1843" w:right="1558"/>
        <w:jc w:val="both"/>
        <w:rPr>
          <w:rFonts w:ascii="Tahoma" w:hAnsi="Tahoma" w:cs="Tahoma"/>
          <w:i/>
          <w:sz w:val="22"/>
          <w:szCs w:val="22"/>
        </w:rPr>
      </w:pPr>
    </w:p>
    <w:p w:rsidR="00065C48" w:rsidRPr="00065C48" w:rsidRDefault="00065C48" w:rsidP="00065C48">
      <w:pPr>
        <w:pStyle w:val="Textoindependiente3"/>
        <w:spacing w:after="0"/>
        <w:ind w:left="5387"/>
        <w:jc w:val="both"/>
        <w:rPr>
          <w:rFonts w:ascii="Tahoma" w:hAnsi="Tahoma" w:cs="Tahoma"/>
          <w:b/>
          <w:sz w:val="22"/>
          <w:szCs w:val="22"/>
        </w:rPr>
      </w:pPr>
      <w:r w:rsidRPr="00065C48">
        <w:rPr>
          <w:rFonts w:ascii="Tahoma" w:hAnsi="Tahoma" w:cs="Tahoma"/>
          <w:b/>
          <w:sz w:val="22"/>
          <w:szCs w:val="22"/>
        </w:rPr>
        <w:t>Lima,</w:t>
      </w:r>
      <w:r w:rsidR="000C3895">
        <w:rPr>
          <w:rFonts w:ascii="Tahoma" w:hAnsi="Tahoma" w:cs="Tahoma"/>
          <w:b/>
          <w:sz w:val="22"/>
          <w:szCs w:val="22"/>
        </w:rPr>
        <w:t xml:space="preserve"> 20 de Abril de 2011</w:t>
      </w:r>
    </w:p>
    <w:p w:rsidR="00065C48" w:rsidRPr="00065C48" w:rsidRDefault="00065C48" w:rsidP="00065C48">
      <w:pPr>
        <w:pStyle w:val="Textoindependiente3"/>
        <w:spacing w:after="0"/>
        <w:ind w:left="5387"/>
        <w:jc w:val="both"/>
        <w:rPr>
          <w:rFonts w:ascii="Tahoma" w:hAnsi="Tahoma" w:cs="Tahoma"/>
          <w:b/>
          <w:sz w:val="22"/>
          <w:szCs w:val="22"/>
        </w:rPr>
      </w:pPr>
    </w:p>
    <w:p w:rsidR="00065C48" w:rsidRPr="00065C48" w:rsidRDefault="00065C48" w:rsidP="00065C48">
      <w:pPr>
        <w:ind w:firstLine="567"/>
        <w:contextualSpacing/>
        <w:jc w:val="both"/>
        <w:rPr>
          <w:rFonts w:ascii="Tahoma" w:hAnsi="Tahoma" w:cs="Tahoma"/>
          <w:sz w:val="22"/>
          <w:szCs w:val="22"/>
        </w:rPr>
      </w:pPr>
      <w:r w:rsidRPr="00065C48">
        <w:rPr>
          <w:rFonts w:ascii="Tahoma" w:hAnsi="Tahoma" w:cs="Tahoma"/>
          <w:b/>
          <w:sz w:val="22"/>
          <w:szCs w:val="22"/>
        </w:rPr>
        <w:t xml:space="preserve">Visto </w:t>
      </w:r>
      <w:r w:rsidRPr="00065C48">
        <w:rPr>
          <w:rFonts w:ascii="Tahoma" w:hAnsi="Tahoma" w:cs="Tahoma"/>
          <w:sz w:val="22"/>
          <w:szCs w:val="22"/>
        </w:rPr>
        <w:t xml:space="preserve">en sesión de fecha 20 de abril de 2011 la Primera Sala del Tribunal de Contrataciones del Estado el Expediente N° 986-2010-TC; sobre el procedimiento administrativo sancionador iniciado contra el Consorcio PROVIDENCIA, integrado por las empresas Constructora Arias &amp; Abanto S.A.C. y Aresa Contratistas Generales S.A.C., </w:t>
      </w:r>
      <w:r w:rsidRPr="00065C48">
        <w:rPr>
          <w:rFonts w:ascii="Tahoma" w:hAnsi="Tahoma" w:cs="Tahoma"/>
          <w:color w:val="000000" w:themeColor="text1"/>
          <w:sz w:val="22"/>
          <w:szCs w:val="22"/>
          <w:lang w:val="es-MX"/>
        </w:rPr>
        <w:t xml:space="preserve">por dar lugar a la resolución del </w:t>
      </w:r>
      <w:r w:rsidRPr="00065C48">
        <w:rPr>
          <w:rFonts w:ascii="Tahoma" w:hAnsi="Tahoma" w:cs="Tahoma"/>
          <w:sz w:val="22"/>
          <w:szCs w:val="22"/>
        </w:rPr>
        <w:t>Contrato de Obra Nº 003-2009-AG-PEJSIB-6401/AMC</w:t>
      </w:r>
    </w:p>
    <w:p w:rsidR="00065C48" w:rsidRPr="00065C48" w:rsidRDefault="00065C48" w:rsidP="00065C48">
      <w:pPr>
        <w:ind w:firstLine="567"/>
        <w:contextualSpacing/>
        <w:jc w:val="both"/>
        <w:rPr>
          <w:rFonts w:ascii="Tahoma" w:hAnsi="Tahoma" w:cs="Tahoma"/>
          <w:b/>
          <w:sz w:val="22"/>
          <w:szCs w:val="22"/>
          <w:lang w:val="es-ES_tradnl"/>
        </w:rPr>
      </w:pPr>
    </w:p>
    <w:p w:rsidR="00065C48" w:rsidRPr="00065C48" w:rsidRDefault="00065C48" w:rsidP="00065C48">
      <w:pPr>
        <w:pStyle w:val="Prrafodelista"/>
        <w:numPr>
          <w:ilvl w:val="0"/>
          <w:numId w:val="1"/>
        </w:numPr>
        <w:ind w:left="567" w:hanging="425"/>
        <w:rPr>
          <w:rFonts w:ascii="Tahoma" w:hAnsi="Tahoma" w:cs="Tahoma"/>
          <w:b/>
          <w:sz w:val="22"/>
          <w:szCs w:val="22"/>
        </w:rPr>
      </w:pPr>
      <w:r w:rsidRPr="00065C48">
        <w:rPr>
          <w:rFonts w:ascii="Tahoma" w:hAnsi="Tahoma" w:cs="Tahoma"/>
          <w:b/>
          <w:sz w:val="22"/>
          <w:szCs w:val="22"/>
        </w:rPr>
        <w:t>ANTECEDENTES:</w:t>
      </w:r>
    </w:p>
    <w:p w:rsidR="00065C48" w:rsidRPr="00065C48" w:rsidRDefault="00065C48" w:rsidP="00065C48">
      <w:pPr>
        <w:jc w:val="both"/>
        <w:rPr>
          <w:rFonts w:ascii="Tahoma" w:hAnsi="Tahoma" w:cs="Tahoma"/>
          <w:b/>
          <w:sz w:val="22"/>
          <w:szCs w:val="22"/>
          <w:lang w:eastAsia="es-PE"/>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El 22 de julio de 2009, el Proyecto Especial Jaén San Ignacio Bagua, en adelante, la Entidad, convocó la Adjudicación de Menor Cuantía Nº 009-2009-AG-PEJSIB-6401 (Derivado de la LP Nº 001-2009-AG-PEJSIB-6401), para la ejecución de la obra: “Construcción de Camino Vecinal Ocalli-Providencia” por un valor referencial ascendente a S/.1 600 000 (Un millón seiscientos mil con 00/100 Nuevos Soles).</w:t>
      </w:r>
    </w:p>
    <w:p w:rsidR="00065C48" w:rsidRPr="00065C48" w:rsidRDefault="00065C48" w:rsidP="00065C48">
      <w:pPr>
        <w:pStyle w:val="p1"/>
        <w:tabs>
          <w:tab w:val="center" w:pos="5832"/>
          <w:tab w:val="right" w:pos="8789"/>
        </w:tabs>
        <w:ind w:left="567" w:right="-2"/>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Con fecha 07 de agosto de 2009, conforme a lo previsto en el calendario del proceso de selección se publicaron en el SEACE los resultados del otorgamiento de la Buena Pro, resultando adjudicataria el Consorcio PROVIDENCIA, integrado por las empresas Constructora Arias &amp; Abanto S.A.C. y Aresa Contratistas Generales S.A.C., en adelante, la Contratista.</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El 22 de setiembre de 2009, la Entidad y la Contratista suscribieron el Contrato de Obra Nº 003-2009-AG-PEJSIB-6401/AMC.</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A través del Informe Técnico Legal adjunto a la comunicación remitida por parte de la Entidad, ésta señaló que el Contratista solicitó en reiteradas oportunidades se le concediera ampliaciones en el plazo de entrega de la Obra por motivo de caso fortuito, teniendo en cuenta las lluvias que se producían en la zona en ese tiempo, solicitudes que fueron denegadas; sin embargo, señala que mediante Resolución Directoral Nº 057-2010-AG-PEJSIB-6401 de fecha 03 de marzo de 2010 se aprobó en vía de regularización el Acta de Acuerdo de fecha 10 de febrero de 2010 a fin de paralizar temporalmente la Obra referida, la cual se retomaría hasta que mejoren las condiciones climáticas. Posteriormente a ello, se volvió a suscribir un Acta de Acuerdo a través del cual se le concedió una ampliación de plazo en la entrega de la Obra, por lo que el nuevo plazo contractual quedó establecida con fecha de vencimiento en el día 15 de abril de 2010.</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Toda vez que habiendo vencido el plazo señalado y no habiendo cumplido la Contratista con la entrega de la Obra terminada, mediante Carta Notarial Nº 033-2010-AG-PEJSIB-6401 diligenciada notarialmente el 06 de mayo de 2010, la Entidad requirió a la Contratista que cumpla con entregar la obra terminada, bajo apercibimiento de resolver el contrato de obra por incumplimiento de obligaciones de su parte, toda vez que el plazo contractual para la ejecución de la obra había vencido el 15 de abril de 2010, por lo tanto, la Contratista estaría incursa en el supuesto de hecho contemplado en el artículo 165 del actual Reglamento de la Ley de contrataciones del Estado, ya que habría incumplido con entregar la obra terminada dentro del plazo contractual señalado, por lo que estaba inmerso en una penalidad diaria, cuyo monto máximo de penalidad por mora es el equivalente al 10% del monto del contrato vigente.</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A través de la Carta Notarial Nº 043-2010-AG-PEJSIB-6401 diligenciada notarialmente el 06 de mayo de 2010, la Entidad requirió a la Contratista que cumpla con entregar la obra terminada en un plazo máximo de 10 días, bajo apercibimiento de resolver el contrato de obra.</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Con Carta Notarial Nº 056-2010-AG- PEJSIB-64011 del 01 de julio de 2010, la Entidad comunicó a la Contratista la Resolución Directoral Nº 0141-20010-AG-PEJSIB-6401 que declaró resuelto de manera total el Contrato de Obra Nº 003-2009-AG-PEJSIB-6401/LP.</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Mediante escrito presentado el 23 de julio de 2010, la Entidad puso en conocimiento de este Tribunal de Contrataciones del Estado, en adelante, el Tribunal, los hechos anteriormente descritos, solicitando la correspondiente aplicación de sanción para la Contratista por el incumplimiento de sus obligaciones contractuales.</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Por decreto de fecha 02 de agosto de 2010, la Secretaría del Tribunal requirió a la Entidad que cumpla con subsanar su comunicación, debiendo señalar si la presente controversia había sido sometida a conciliación o arbitraje, y remitir, de ser el caso, el acta de instalación del tribunal arbitral correspondiente.</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Con Oficio Nº 523-2010-AG-PEJSIB-6401 presentado el 23 de setiembre de 2010, la Entidad informó que mediante expediente Nº S046-2010 de fecha 26 de julio de 2010, se remitió a la Dirección de Arbitraje Administrativo del OSCE, el escrito de contestación de demanda, en relación a la controversia sobre resolución del Contrato de Obra: “Construcción del Camino Vecinal Ocallí-Providencia”; asimismo, señaló que designó como árbitro al Dr. Ivan Alexander Casiano Lossio, por lo tanto quedaba pendiente que por parte de la Contratista y del Tribunal designen a sus árbitros y se proceda a la instalación del Tribunal Arbitral correspondiente.</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lastRenderedPageBreak/>
        <w:t>A través de decreto de fecha 28 de setiembre de 2010, se requirió a la Entidad para que cumpla con remitir la Demanda Arbitral y el Acta de Instalación del Tribunal Arbitral correspondiente.</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Mediante Oficio Nº 558-2010-AG-PEJSIB-6401 presentado el 18 de octubre de 2010, la Entidad informó que aún está pendiente la instalación del Tribunal Arbitral correspondiente.</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Con decreto de fecha 22 de octubre de 2010, previa razón expuesta por la Secretaría del Tribunal, se dispuso remitir el expediente a la Primera Sala del Tribunal a fin que emita su pronunciamiento sobre la procedencia del inicio del procedimiento administrativo sancionador a la Contratista.</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Mediante decreto de 23 de noviembre de 2010 se inicio procedimiento administrativo sancionador a las empresas Constructora Arias &amp;Abanto S.A.C. y Aresa Contratistas Generales S.A.C. integrantes del Consorcio Providencia, por sus supuesta responsabilidad en la resolución del Contrato de Obra Nº 003-2009-AG-PEJSIB-6401/AMC. Asimismo, se notificó a las empresas conformantes del Consorcio a fin que presenten sus descargos.</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En vista de ello, el 13 de diciembre de 2010, la Contratista presentó sus descargos mediante Carta S/N señalando que la Entidad de manera arbitraria se negó a concederles las ampliaciones de plazo solicitadas, lo cual generó un retraso injustificado en la ejecución de la obra. Así también señala que se produjeron hechos de caso fortuito y fuerza mayor ajenos a su voluntad que generó el incumplimiento en la ejecución; sin embargo, señala que, aun así, se procedió con la entrega de la Obra citada, que fue finalmente observada por la Entidad, la misma que indicó que faltaban ejecutar las siguientes partidas:</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7"/>
        </w:numPr>
        <w:tabs>
          <w:tab w:val="center" w:pos="5832"/>
          <w:tab w:val="right" w:pos="8789"/>
        </w:tabs>
        <w:ind w:right="-2"/>
        <w:rPr>
          <w:rFonts w:ascii="Tahoma" w:hAnsi="Tahoma" w:cs="Tahoma"/>
          <w:sz w:val="22"/>
          <w:szCs w:val="22"/>
        </w:rPr>
      </w:pPr>
      <w:r w:rsidRPr="00065C48">
        <w:rPr>
          <w:rFonts w:ascii="Tahoma" w:hAnsi="Tahoma" w:cs="Tahoma"/>
          <w:sz w:val="22"/>
          <w:szCs w:val="22"/>
        </w:rPr>
        <w:t>Perfilado y Compactado de Subrasante en Zona de Corte y en el tramo del Km. 7 + 500 al Km 13 + 080 en razón que el contratista retiro la motoniveladora y el rodillo vibratorio, sin la autorización de la inspección.</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7"/>
        </w:numPr>
        <w:tabs>
          <w:tab w:val="center" w:pos="5832"/>
          <w:tab w:val="right" w:pos="8789"/>
        </w:tabs>
        <w:ind w:right="-2"/>
        <w:rPr>
          <w:rFonts w:ascii="Tahoma" w:hAnsi="Tahoma" w:cs="Tahoma"/>
          <w:sz w:val="22"/>
          <w:szCs w:val="22"/>
        </w:rPr>
      </w:pPr>
      <w:r w:rsidRPr="00065C48">
        <w:rPr>
          <w:rFonts w:ascii="Tahoma" w:hAnsi="Tahoma" w:cs="Tahoma"/>
          <w:sz w:val="22"/>
          <w:szCs w:val="22"/>
        </w:rPr>
        <w:t>Relleno con material propio en los tramos de los Kms.  + 000 al Km 0 + 600 y del Km. 1 + 200 al Km. 13 + 080, debido a que el contratista no cuenta con la maquinaria necesaria en la obra.</w:t>
      </w:r>
    </w:p>
    <w:p w:rsidR="00065C48" w:rsidRPr="00065C48" w:rsidRDefault="00065C48" w:rsidP="00065C48">
      <w:pPr>
        <w:pStyle w:val="p1"/>
        <w:tabs>
          <w:tab w:val="center" w:pos="5832"/>
          <w:tab w:val="right" w:pos="8789"/>
        </w:tabs>
        <w:ind w:left="567" w:right="-2"/>
        <w:rPr>
          <w:rFonts w:ascii="Tahoma" w:hAnsi="Tahoma" w:cs="Tahoma"/>
          <w:sz w:val="22"/>
          <w:szCs w:val="22"/>
        </w:rPr>
      </w:pPr>
    </w:p>
    <w:p w:rsidR="00065C48" w:rsidRPr="00065C48" w:rsidRDefault="00065C48" w:rsidP="00065C48">
      <w:pPr>
        <w:pStyle w:val="p1"/>
        <w:numPr>
          <w:ilvl w:val="0"/>
          <w:numId w:val="7"/>
        </w:numPr>
        <w:tabs>
          <w:tab w:val="center" w:pos="5832"/>
          <w:tab w:val="right" w:pos="8789"/>
        </w:tabs>
        <w:ind w:right="-2"/>
        <w:rPr>
          <w:rFonts w:ascii="Tahoma" w:hAnsi="Tahoma" w:cs="Tahoma"/>
          <w:sz w:val="22"/>
          <w:szCs w:val="22"/>
        </w:rPr>
      </w:pPr>
      <w:r w:rsidRPr="00065C48">
        <w:rPr>
          <w:rFonts w:ascii="Tahoma" w:hAnsi="Tahoma" w:cs="Tahoma"/>
          <w:sz w:val="22"/>
          <w:szCs w:val="22"/>
        </w:rPr>
        <w:t>Baranda de fierro negro D=3 de 33.0 m en el puente de L=15.50 m. sobre la quebrada Jumeth.</w:t>
      </w:r>
    </w:p>
    <w:p w:rsidR="00065C48" w:rsidRPr="00065C48" w:rsidRDefault="00065C48" w:rsidP="00065C48">
      <w:pPr>
        <w:pStyle w:val="p1"/>
        <w:tabs>
          <w:tab w:val="center" w:pos="5832"/>
          <w:tab w:val="right" w:pos="8789"/>
        </w:tabs>
        <w:ind w:left="567" w:right="-2"/>
        <w:rPr>
          <w:rFonts w:ascii="Tahoma" w:hAnsi="Tahoma" w:cs="Tahoma"/>
          <w:sz w:val="22"/>
          <w:szCs w:val="22"/>
        </w:rPr>
      </w:pPr>
    </w:p>
    <w:p w:rsidR="00065C48" w:rsidRPr="00065C48" w:rsidRDefault="00065C48" w:rsidP="00065C48">
      <w:pPr>
        <w:pStyle w:val="p1"/>
        <w:numPr>
          <w:ilvl w:val="0"/>
          <w:numId w:val="7"/>
        </w:numPr>
        <w:tabs>
          <w:tab w:val="center" w:pos="5832"/>
          <w:tab w:val="right" w:pos="8789"/>
        </w:tabs>
        <w:ind w:right="-2"/>
        <w:rPr>
          <w:rFonts w:ascii="Tahoma" w:hAnsi="Tahoma" w:cs="Tahoma"/>
          <w:sz w:val="22"/>
          <w:szCs w:val="22"/>
        </w:rPr>
      </w:pPr>
      <w:r w:rsidRPr="00065C48">
        <w:rPr>
          <w:rFonts w:ascii="Tahoma" w:hAnsi="Tahoma" w:cs="Tahoma"/>
          <w:sz w:val="22"/>
          <w:szCs w:val="22"/>
        </w:rPr>
        <w:t>Aun falta confirmar la culminación de las partidas de corte en material suelto y roca.</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tabs>
          <w:tab w:val="center" w:pos="5832"/>
          <w:tab w:val="right" w:pos="8789"/>
        </w:tabs>
        <w:ind w:left="567" w:right="-2"/>
        <w:rPr>
          <w:rFonts w:ascii="Tahoma" w:hAnsi="Tahoma" w:cs="Tahoma"/>
          <w:sz w:val="22"/>
          <w:szCs w:val="22"/>
        </w:rPr>
      </w:pPr>
      <w:r w:rsidRPr="00065C48">
        <w:rPr>
          <w:rFonts w:ascii="Tahoma" w:hAnsi="Tahoma" w:cs="Tahoma"/>
          <w:sz w:val="22"/>
          <w:szCs w:val="22"/>
        </w:rPr>
        <w:t xml:space="preserve">La contratista señaló que no se ejecutaron en el plazo convenido debido a que la maquinaria que se estaba utilizando para la ejecución de la Obra (motoniveladora </w:t>
      </w:r>
      <w:r w:rsidRPr="00065C48">
        <w:rPr>
          <w:rFonts w:ascii="Tahoma" w:hAnsi="Tahoma" w:cs="Tahoma"/>
          <w:sz w:val="22"/>
          <w:szCs w:val="22"/>
        </w:rPr>
        <w:lastRenderedPageBreak/>
        <w:t>y tractor) fueron retiradas intempestivamente por sus dueños sin previo aviso, así también señala que durante la ejecución de la obra el rodillo utilizado se cayó a un abismo, lo que imposibilitó la continuación de la Obra de manera programada hechos que escapan a su esfera de responsabilidad.</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En vista de ello y a fin que la Primera Sala cuente con mayores elementos de juicio al momento de resolver, mediante decreto de fecha 04 de enero de 2011 se solicitó a la Dirección de Arbitraje Administrativo del OSCE que informe si existía en curso el proceso arbitral entre la Entidad y la Contratista, información que debía contener lo siguiente:</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6"/>
        </w:numPr>
        <w:tabs>
          <w:tab w:val="center" w:pos="5832"/>
          <w:tab w:val="right" w:pos="8789"/>
        </w:tabs>
        <w:ind w:right="-2"/>
        <w:rPr>
          <w:rFonts w:ascii="Tahoma" w:hAnsi="Tahoma" w:cs="Tahoma"/>
          <w:i/>
          <w:sz w:val="22"/>
          <w:szCs w:val="22"/>
        </w:rPr>
      </w:pPr>
      <w:r w:rsidRPr="00065C48">
        <w:rPr>
          <w:rFonts w:ascii="Tahoma" w:hAnsi="Tahoma" w:cs="Tahoma"/>
          <w:i/>
          <w:sz w:val="22"/>
          <w:szCs w:val="22"/>
        </w:rPr>
        <w:t>Acta de Instalación del Tribunal Arbitral</w:t>
      </w:r>
    </w:p>
    <w:p w:rsidR="00065C48" w:rsidRPr="00065C48" w:rsidRDefault="00065C48" w:rsidP="00065C48">
      <w:pPr>
        <w:pStyle w:val="p1"/>
        <w:numPr>
          <w:ilvl w:val="0"/>
          <w:numId w:val="6"/>
        </w:numPr>
        <w:tabs>
          <w:tab w:val="center" w:pos="5832"/>
          <w:tab w:val="right" w:pos="8789"/>
        </w:tabs>
        <w:ind w:right="-2"/>
        <w:rPr>
          <w:rFonts w:ascii="Tahoma" w:hAnsi="Tahoma" w:cs="Tahoma"/>
          <w:i/>
          <w:sz w:val="22"/>
          <w:szCs w:val="22"/>
        </w:rPr>
      </w:pPr>
      <w:r w:rsidRPr="00065C48">
        <w:rPr>
          <w:rFonts w:ascii="Tahoma" w:hAnsi="Tahoma" w:cs="Tahoma"/>
          <w:i/>
          <w:sz w:val="22"/>
          <w:szCs w:val="22"/>
        </w:rPr>
        <w:t>Demanda Arbitral</w:t>
      </w:r>
    </w:p>
    <w:p w:rsidR="00065C48" w:rsidRPr="00065C48" w:rsidRDefault="00065C48" w:rsidP="00065C48">
      <w:pPr>
        <w:pStyle w:val="p1"/>
        <w:numPr>
          <w:ilvl w:val="0"/>
          <w:numId w:val="6"/>
        </w:numPr>
        <w:tabs>
          <w:tab w:val="center" w:pos="5832"/>
          <w:tab w:val="right" w:pos="8789"/>
        </w:tabs>
        <w:ind w:right="-2"/>
        <w:rPr>
          <w:rFonts w:ascii="Tahoma" w:hAnsi="Tahoma" w:cs="Tahoma"/>
          <w:i/>
          <w:sz w:val="22"/>
          <w:szCs w:val="22"/>
        </w:rPr>
      </w:pPr>
      <w:r w:rsidRPr="00065C48">
        <w:rPr>
          <w:rFonts w:ascii="Tahoma" w:hAnsi="Tahoma" w:cs="Tahoma"/>
          <w:i/>
          <w:sz w:val="22"/>
          <w:szCs w:val="22"/>
        </w:rPr>
        <w:t>Estado del proceso</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Mediante Memorándum Nº 96-2011/DAA-MGR de fecha 08 de marzo de 2011, la Dirección de Arbitraje Administrativo informó que aun no se ha realizado la Audiencia de Instalación y Determinación de Puntos Controvertidos.</w:t>
      </w:r>
    </w:p>
    <w:p w:rsidR="00065C48" w:rsidRPr="00065C48" w:rsidRDefault="00065C48" w:rsidP="00065C48">
      <w:pPr>
        <w:pStyle w:val="p1"/>
        <w:tabs>
          <w:tab w:val="center" w:pos="5832"/>
          <w:tab w:val="right" w:pos="8789"/>
        </w:tabs>
        <w:ind w:left="567" w:right="-2"/>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Mediante decreto de fecha 14 de abril de 2011 se solicitó a la Dirección de Arbitraje Administrativo del OSCE que informe si existía en curso el proceso arbitral entre la Entidad y la Contratista, información que debía contener lo siguiente:</w:t>
      </w:r>
    </w:p>
    <w:p w:rsidR="00065C48" w:rsidRPr="00065C48" w:rsidRDefault="00065C48" w:rsidP="00065C48">
      <w:pPr>
        <w:pStyle w:val="Prrafodelista"/>
        <w:rPr>
          <w:rFonts w:ascii="Tahoma" w:hAnsi="Tahoma" w:cs="Tahoma"/>
          <w:i/>
          <w:sz w:val="22"/>
          <w:szCs w:val="22"/>
        </w:rPr>
      </w:pPr>
    </w:p>
    <w:p w:rsidR="00065C48" w:rsidRPr="00065C48" w:rsidRDefault="00065C48" w:rsidP="00065C48">
      <w:pPr>
        <w:pStyle w:val="p1"/>
        <w:numPr>
          <w:ilvl w:val="0"/>
          <w:numId w:val="8"/>
        </w:numPr>
        <w:tabs>
          <w:tab w:val="center" w:pos="5832"/>
          <w:tab w:val="right" w:pos="8789"/>
        </w:tabs>
        <w:ind w:left="1418" w:right="-2" w:hanging="491"/>
        <w:rPr>
          <w:rFonts w:ascii="Tahoma" w:hAnsi="Tahoma" w:cs="Tahoma"/>
          <w:i/>
          <w:sz w:val="22"/>
          <w:szCs w:val="22"/>
        </w:rPr>
      </w:pPr>
      <w:r w:rsidRPr="00065C48">
        <w:rPr>
          <w:rFonts w:ascii="Tahoma" w:hAnsi="Tahoma" w:cs="Tahoma"/>
          <w:i/>
          <w:sz w:val="22"/>
          <w:szCs w:val="22"/>
        </w:rPr>
        <w:t>Acta de Instalación del Tribunal Arbitral</w:t>
      </w:r>
    </w:p>
    <w:p w:rsidR="00065C48" w:rsidRPr="00065C48" w:rsidRDefault="00065C48" w:rsidP="00065C48">
      <w:pPr>
        <w:pStyle w:val="p1"/>
        <w:numPr>
          <w:ilvl w:val="0"/>
          <w:numId w:val="8"/>
        </w:numPr>
        <w:tabs>
          <w:tab w:val="center" w:pos="5832"/>
          <w:tab w:val="right" w:pos="8789"/>
        </w:tabs>
        <w:ind w:left="1418" w:right="-2" w:hanging="491"/>
        <w:rPr>
          <w:rFonts w:ascii="Tahoma" w:hAnsi="Tahoma" w:cs="Tahoma"/>
          <w:i/>
          <w:sz w:val="22"/>
          <w:szCs w:val="22"/>
        </w:rPr>
      </w:pPr>
      <w:r w:rsidRPr="00065C48">
        <w:rPr>
          <w:rFonts w:ascii="Tahoma" w:hAnsi="Tahoma" w:cs="Tahoma"/>
          <w:i/>
          <w:sz w:val="22"/>
          <w:szCs w:val="22"/>
        </w:rPr>
        <w:t>Demanda Arbitral</w:t>
      </w:r>
    </w:p>
    <w:p w:rsidR="00065C48" w:rsidRPr="00065C48" w:rsidRDefault="00065C48" w:rsidP="00065C48">
      <w:pPr>
        <w:pStyle w:val="p1"/>
        <w:numPr>
          <w:ilvl w:val="0"/>
          <w:numId w:val="8"/>
        </w:numPr>
        <w:tabs>
          <w:tab w:val="center" w:pos="5832"/>
          <w:tab w:val="right" w:pos="8789"/>
        </w:tabs>
        <w:ind w:left="1418" w:right="-2" w:hanging="491"/>
        <w:rPr>
          <w:rFonts w:ascii="Tahoma" w:hAnsi="Tahoma" w:cs="Tahoma"/>
          <w:i/>
          <w:sz w:val="22"/>
          <w:szCs w:val="22"/>
        </w:rPr>
      </w:pPr>
      <w:r w:rsidRPr="00065C48">
        <w:rPr>
          <w:rFonts w:ascii="Tahoma" w:hAnsi="Tahoma" w:cs="Tahoma"/>
          <w:i/>
          <w:sz w:val="22"/>
          <w:szCs w:val="22"/>
        </w:rPr>
        <w:t>Estado del proceso</w:t>
      </w:r>
    </w:p>
    <w:p w:rsidR="00065C48" w:rsidRPr="00065C48" w:rsidRDefault="00065C48" w:rsidP="00065C48">
      <w:pPr>
        <w:pStyle w:val="p1"/>
        <w:tabs>
          <w:tab w:val="center" w:pos="5832"/>
          <w:tab w:val="right" w:pos="8789"/>
        </w:tabs>
        <w:ind w:left="1418" w:right="-2"/>
        <w:rPr>
          <w:rFonts w:ascii="Tahoma" w:hAnsi="Tahoma" w:cs="Tahoma"/>
          <w:i/>
          <w:sz w:val="22"/>
          <w:szCs w:val="22"/>
        </w:rPr>
      </w:pPr>
    </w:p>
    <w:p w:rsidR="00065C48" w:rsidRPr="00065C48" w:rsidRDefault="00065C48" w:rsidP="00065C48">
      <w:pPr>
        <w:ind w:left="567"/>
        <w:contextualSpacing/>
        <w:jc w:val="both"/>
        <w:rPr>
          <w:rFonts w:ascii="Tahoma" w:hAnsi="Tahoma" w:cs="Tahoma"/>
          <w:i/>
          <w:sz w:val="22"/>
          <w:szCs w:val="22"/>
        </w:rPr>
      </w:pPr>
      <w:r w:rsidRPr="00065C48">
        <w:rPr>
          <w:rFonts w:ascii="Tahoma" w:hAnsi="Tahoma" w:cs="Tahoma"/>
          <w:i/>
          <w:sz w:val="22"/>
          <w:szCs w:val="22"/>
        </w:rPr>
        <w:t>Asimismo, informar a este Tribunal si el proceso arbitral se considera iniciado en la fecha de interposición de la demanda ante la secretaria del SNCA-CONSUCODE, tal como lo establece el artículo 25  del Reglamento del Sistema Nacional de Conciliación y Arbitraje del CONSUCODE.</w:t>
      </w:r>
    </w:p>
    <w:p w:rsidR="00065C48" w:rsidRPr="00065C48" w:rsidRDefault="00065C48" w:rsidP="00065C48">
      <w:pPr>
        <w:ind w:left="567"/>
        <w:contextualSpacing/>
        <w:jc w:val="both"/>
        <w:rPr>
          <w:rFonts w:ascii="Tahoma" w:hAnsi="Tahoma" w:cs="Tahoma"/>
          <w:i/>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Mediante Memorándum Nº 146-2011/DAA-MGR de fecha 15 de abril de 2011, la Dirección de Arbitraje Administrativo informó que aun no se ha realizado la Audiencia de Instalación y Determinación de Puntos Controvertidos, Asimismo, precisa que al tratarse de dos proceso arbitrales sometidos al Reglamento del Sistema Nacional de Conciliación y Arbitraje el inicio del arbitraje se da con la interposición de la demanda arbitral ante la Secretaria del SNCA-CONSUCODE de conformidad con el artículo 25º del referido Reglamento.</w:t>
      </w:r>
    </w:p>
    <w:p w:rsidR="00065C48" w:rsidRPr="00065C48" w:rsidRDefault="00065C48" w:rsidP="00065C48">
      <w:pPr>
        <w:pStyle w:val="Prrafodelista"/>
        <w:ind w:left="0"/>
        <w:jc w:val="both"/>
        <w:rPr>
          <w:rFonts w:ascii="Tahoma" w:hAnsi="Tahoma" w:cs="Tahoma"/>
          <w:sz w:val="22"/>
          <w:szCs w:val="22"/>
          <w:lang w:val="es-ES"/>
        </w:rPr>
      </w:pPr>
    </w:p>
    <w:p w:rsidR="00065C48" w:rsidRDefault="00065C48" w:rsidP="00065C48">
      <w:pPr>
        <w:contextualSpacing/>
        <w:jc w:val="both"/>
        <w:rPr>
          <w:rFonts w:ascii="Tahoma" w:hAnsi="Tahoma" w:cs="Tahoma"/>
          <w:sz w:val="22"/>
          <w:szCs w:val="22"/>
          <w:lang w:val="es-ES_tradnl"/>
        </w:rPr>
      </w:pPr>
    </w:p>
    <w:p w:rsidR="00BC5452" w:rsidRDefault="00BC5452" w:rsidP="00065C48">
      <w:pPr>
        <w:contextualSpacing/>
        <w:jc w:val="both"/>
        <w:rPr>
          <w:rFonts w:ascii="Tahoma" w:hAnsi="Tahoma" w:cs="Tahoma"/>
          <w:sz w:val="22"/>
          <w:szCs w:val="22"/>
          <w:lang w:val="es-ES_tradnl"/>
        </w:rPr>
      </w:pPr>
    </w:p>
    <w:p w:rsidR="00BC5452" w:rsidRDefault="00BC5452" w:rsidP="00065C48">
      <w:pPr>
        <w:contextualSpacing/>
        <w:jc w:val="both"/>
        <w:rPr>
          <w:rFonts w:ascii="Tahoma" w:hAnsi="Tahoma" w:cs="Tahoma"/>
          <w:sz w:val="22"/>
          <w:szCs w:val="22"/>
          <w:lang w:val="es-ES_tradnl"/>
        </w:rPr>
      </w:pPr>
    </w:p>
    <w:p w:rsidR="00BC5452" w:rsidRPr="00065C48" w:rsidRDefault="00BC5452" w:rsidP="00065C48">
      <w:pPr>
        <w:contextualSpacing/>
        <w:jc w:val="both"/>
        <w:rPr>
          <w:rFonts w:ascii="Tahoma" w:hAnsi="Tahoma" w:cs="Tahoma"/>
          <w:sz w:val="22"/>
          <w:szCs w:val="22"/>
          <w:lang w:val="es-ES_tradnl"/>
        </w:rPr>
      </w:pPr>
    </w:p>
    <w:p w:rsidR="00065C48" w:rsidRPr="00065C48" w:rsidRDefault="00065C48" w:rsidP="00065C48">
      <w:pPr>
        <w:pStyle w:val="Prrafodelista"/>
        <w:numPr>
          <w:ilvl w:val="0"/>
          <w:numId w:val="1"/>
        </w:numPr>
        <w:ind w:left="567"/>
        <w:jc w:val="both"/>
        <w:rPr>
          <w:rFonts w:ascii="Tahoma" w:hAnsi="Tahoma" w:cs="Tahoma"/>
          <w:b/>
          <w:shadow/>
          <w:sz w:val="22"/>
          <w:szCs w:val="22"/>
        </w:rPr>
      </w:pPr>
      <w:r w:rsidRPr="00065C48">
        <w:rPr>
          <w:rFonts w:ascii="Tahoma" w:hAnsi="Tahoma" w:cs="Tahoma"/>
          <w:b/>
          <w:sz w:val="22"/>
          <w:szCs w:val="22"/>
        </w:rPr>
        <w:lastRenderedPageBreak/>
        <w:t>FUNDAMENTACIÓN:</w:t>
      </w:r>
    </w:p>
    <w:p w:rsidR="00065C48" w:rsidRPr="00065C48" w:rsidRDefault="00065C48" w:rsidP="00065C48">
      <w:pPr>
        <w:pStyle w:val="Prrafodelista"/>
        <w:ind w:left="567"/>
        <w:jc w:val="both"/>
        <w:rPr>
          <w:rFonts w:ascii="Tahoma" w:hAnsi="Tahoma" w:cs="Tahoma"/>
          <w:b/>
          <w:shadow/>
          <w:sz w:val="22"/>
          <w:szCs w:val="22"/>
        </w:rPr>
      </w:pPr>
    </w:p>
    <w:p w:rsidR="00065C48" w:rsidRPr="00065C48" w:rsidRDefault="00065C48" w:rsidP="00065C48">
      <w:pPr>
        <w:pStyle w:val="Lista3"/>
        <w:numPr>
          <w:ilvl w:val="0"/>
          <w:numId w:val="9"/>
        </w:numPr>
        <w:spacing w:after="0" w:line="240" w:lineRule="auto"/>
        <w:ind w:left="567" w:hanging="425"/>
        <w:jc w:val="both"/>
        <w:rPr>
          <w:rFonts w:ascii="Tahoma" w:hAnsi="Tahoma" w:cs="Tahoma"/>
        </w:rPr>
      </w:pPr>
      <w:r w:rsidRPr="00065C48">
        <w:rPr>
          <w:rFonts w:ascii="Tahoma" w:hAnsi="Tahoma" w:cs="Tahoma"/>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065C48" w:rsidRPr="00065C48" w:rsidRDefault="00065C48" w:rsidP="00065C48">
      <w:pPr>
        <w:pStyle w:val="Prrafodelista"/>
        <w:ind w:left="567"/>
        <w:rPr>
          <w:rFonts w:ascii="Tahoma" w:hAnsi="Tahoma" w:cs="Tahoma"/>
          <w:sz w:val="22"/>
          <w:szCs w:val="22"/>
        </w:rPr>
      </w:pPr>
    </w:p>
    <w:p w:rsidR="00065C48" w:rsidRPr="00065C48" w:rsidRDefault="00065C48" w:rsidP="00065C48">
      <w:pPr>
        <w:pStyle w:val="p1"/>
        <w:numPr>
          <w:ilvl w:val="0"/>
          <w:numId w:val="9"/>
        </w:numPr>
        <w:tabs>
          <w:tab w:val="num" w:pos="567"/>
          <w:tab w:val="center" w:pos="5832"/>
          <w:tab w:val="right" w:pos="8789"/>
        </w:tabs>
        <w:spacing w:line="240" w:lineRule="auto"/>
        <w:ind w:left="567" w:right="-2" w:hanging="425"/>
        <w:rPr>
          <w:rFonts w:ascii="Tahoma" w:hAnsi="Tahoma" w:cs="Tahoma"/>
          <w:sz w:val="22"/>
          <w:szCs w:val="22"/>
        </w:rPr>
      </w:pPr>
      <w:r w:rsidRPr="00065C48">
        <w:rPr>
          <w:rFonts w:ascii="Tahoma" w:hAnsi="Tahoma" w:cs="Tahoma"/>
          <w:sz w:val="22"/>
          <w:szCs w:val="22"/>
        </w:rPr>
        <w:t>El presente procedimiento administrativo sancionador ha sido iniciado a consecuencia de la denuncia formulada por la Entidad por la supuesta responsabilidad del el Consorcio PROVIDENCIA, integrado por las empresas Constructora Arias &amp; Abanto S.A.C. y Aresa Contratistas Generales S.A.C. en la resolución del Contrato de Obra Nº 003-2009-AG-PEJSIB-6401/AMC derivado de la Adjudicación de Menor Cuantía Nº 009-2009-AG-PEJSIB-6401 (Derivado de la LP Nº 001-2009-AG-PEJSIB-6401), para la ejecución de la obra: “Construcción de Camino Vecinal Ocalli-Providencia”, por razón atribuible a su parte, situación que califica como infracción administrativa según la causal de imposición de sanción tipificada en el literal b) del artículo 51 de la Ley de Contrataciones del Estado aprobado por Decreto Legislativo Nº 1017, en adelante la Ley y el literal b) del artículo 237 del Reglamento</w:t>
      </w:r>
      <w:r w:rsidRPr="00065C48">
        <w:rPr>
          <w:rStyle w:val="Refdenotaalpie"/>
          <w:rFonts w:ascii="Tahoma" w:hAnsi="Tahoma" w:cs="Tahoma"/>
          <w:sz w:val="22"/>
          <w:szCs w:val="22"/>
        </w:rPr>
        <w:footnoteReference w:id="2"/>
      </w:r>
      <w:r w:rsidRPr="00065C48">
        <w:rPr>
          <w:rFonts w:ascii="Tahoma" w:hAnsi="Tahoma" w:cs="Tahoma"/>
          <w:sz w:val="22"/>
          <w:szCs w:val="22"/>
        </w:rPr>
        <w:t xml:space="preserve"> de la Ley de Contrataciones del Estado, aprobado por Decreto Supremo N° 184-2008-PCM, en adelante el Reglamento, normas vigentes al suscitarse los hechos descritos., y norma aplicable al presente caso. </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Para tales efectos, debe tenerse en cuenta que el Tribunal de Contrataciones del Estado tiene a su cargo el conocimiento de los procesos de aplicación de sanción administrativa de suspensión o inhabilitación para contratar con el Estado, en los casos expresamente previstos en el artículo 51 de la Ley, y el artículo 237 del Reglamento.</w:t>
      </w:r>
    </w:p>
    <w:p w:rsidR="00065C48" w:rsidRPr="00065C48" w:rsidRDefault="00065C48" w:rsidP="00065C48">
      <w:pPr>
        <w:contextualSpacing/>
        <w:jc w:val="both"/>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En tal sentido, el artículo 168º del Reglamento dispone que La Entidad podrá resolver el contrato, de conformidad con el inciso c) del artículo 40º de La Ley cuando el Contratista incumpla injustificadamente las obligaciones contractuales, legales o reglamentarias a su cargo, pese a haber sido requerido para ello.</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 xml:space="preserve">El procedimiento de resolución contractual, cuya observancia es condición necesaria para evaluar la existencia de eventuales responsabilidades de carácter administrativo, se encuentra previsto en el artículo 169º del precitado Reglamento, según el cual en caso de incumplimiento contractual de una de las partes involucradas, la parte que resulte perjudicada con tal hecho requerirá a la </w:t>
      </w:r>
      <w:r w:rsidRPr="00065C48">
        <w:rPr>
          <w:rFonts w:ascii="Tahoma" w:hAnsi="Tahoma" w:cs="Tahoma"/>
          <w:sz w:val="22"/>
          <w:szCs w:val="22"/>
        </w:rPr>
        <w:lastRenderedPageBreak/>
        <w:t xml:space="preserve">otra notarialmente para que satisfaga sus obligaciones en un plazo no mayor a cinco (05) días, bajo apercibimiento de resolver el contrato, siendo que dependiendo del monto contractual y de la complejidad, envergadura o sofisticación de la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comunicando mediante carta notarial, la decisión de resolver el contrato. </w:t>
      </w:r>
    </w:p>
    <w:p w:rsidR="00065C48" w:rsidRPr="00065C48" w:rsidRDefault="00065C48" w:rsidP="00065C48">
      <w:pPr>
        <w:pStyle w:val="Prrafodelista"/>
        <w:rPr>
          <w:rFonts w:ascii="Tahoma" w:hAnsi="Tahoma" w:cs="Tahoma"/>
          <w:b/>
          <w:sz w:val="22"/>
          <w:szCs w:val="22"/>
        </w:rPr>
      </w:pPr>
    </w:p>
    <w:p w:rsidR="00065C48" w:rsidRPr="00065C48" w:rsidRDefault="00065C48" w:rsidP="00065C48">
      <w:pPr>
        <w:pStyle w:val="Prrafodelista"/>
        <w:ind w:left="567"/>
        <w:contextualSpacing/>
        <w:jc w:val="both"/>
        <w:rPr>
          <w:rFonts w:ascii="Tahoma" w:hAnsi="Tahoma" w:cs="Tahoma"/>
          <w:sz w:val="22"/>
          <w:szCs w:val="22"/>
        </w:rPr>
      </w:pPr>
      <w:r w:rsidRPr="00065C48">
        <w:rPr>
          <w:rFonts w:ascii="Tahoma" w:hAnsi="Tahoma" w:cs="Tahoma"/>
          <w:sz w:val="22"/>
          <w:szCs w:val="22"/>
        </w:rPr>
        <w:t>No será necesario efectuar un requerimiento previo cuando la resolución del contrato se deba a la acumulación del monto máximo de penalidad por mora, o por otras penalidades, cuando la situación de incumplimiento no pueda ser revertida. En este caso, bastara comunicar al contratista mediante carta notarial la decisión de resolver el contrato.</w:t>
      </w:r>
    </w:p>
    <w:p w:rsidR="00065C48" w:rsidRPr="00065C48" w:rsidRDefault="00065C48" w:rsidP="00065C48">
      <w:pPr>
        <w:contextualSpacing/>
        <w:jc w:val="both"/>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Al respecto, como primer punto de análisis, corresponde examinar si La Entidad ha cumplido con el procedimiento de resolución del contrato, previsto en los artículos 168º y 169º del Reglamento. De la lectura de las disposiciones glosadas, se concluye que resulta imperativo que la Entidad siga el procedimiento descrito y cumpla con las formalidades previstas en la normativa, ello con la finalidad que la resolución contractual sea válida.</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 xml:space="preserve">De la información remitida por la Entidad, se ha verificado que, mediante Carta Notarial Nº 043-2010-AG-PEJSIB-6401, debidamente diligenciada el día 12 de mayo de 2010, la Entidad comunicó al Postor lo siguiente: </w:t>
      </w:r>
    </w:p>
    <w:p w:rsidR="00065C48" w:rsidRPr="00065C48" w:rsidRDefault="00065C48" w:rsidP="00065C48">
      <w:pPr>
        <w:pStyle w:val="Prrafodelista"/>
        <w:rPr>
          <w:rFonts w:ascii="Tahoma" w:hAnsi="Tahoma" w:cs="Tahoma"/>
          <w:i/>
          <w:sz w:val="22"/>
          <w:szCs w:val="22"/>
        </w:rPr>
      </w:pPr>
    </w:p>
    <w:p w:rsidR="00065C48" w:rsidRPr="00065C48" w:rsidRDefault="00065C48" w:rsidP="00065C48">
      <w:pPr>
        <w:pStyle w:val="Prrafodelista"/>
        <w:ind w:left="567"/>
        <w:contextualSpacing/>
        <w:jc w:val="both"/>
        <w:rPr>
          <w:rFonts w:ascii="Tahoma" w:hAnsi="Tahoma" w:cs="Tahoma"/>
          <w:sz w:val="22"/>
          <w:szCs w:val="22"/>
        </w:rPr>
      </w:pPr>
      <w:r w:rsidRPr="00065C48">
        <w:rPr>
          <w:rFonts w:ascii="Tahoma" w:hAnsi="Tahoma" w:cs="Tahoma"/>
          <w:i/>
          <w:sz w:val="22"/>
          <w:szCs w:val="22"/>
        </w:rPr>
        <w:t>“Habiéndose cumplido el día 08 de mayo de 2010 el monto máximo de penalidad por mora (19% del monto del contrato vigente), sin que vuestra representada cumpla con entregar la obra terminada, se ha configurado la causal de Resolución del Contrato de Obra Nº 003-2009-AG-6401/AMC.</w:t>
      </w:r>
    </w:p>
    <w:p w:rsidR="00065C48" w:rsidRPr="00065C48" w:rsidRDefault="00065C48" w:rsidP="00065C48">
      <w:pPr>
        <w:pStyle w:val="Prrafodelista"/>
        <w:rPr>
          <w:rFonts w:ascii="Tahoma" w:hAnsi="Tahoma" w:cs="Tahoma"/>
          <w:i/>
          <w:sz w:val="22"/>
          <w:szCs w:val="22"/>
        </w:rPr>
      </w:pPr>
    </w:p>
    <w:p w:rsidR="00065C48" w:rsidRPr="00065C48" w:rsidRDefault="00065C48" w:rsidP="00065C48">
      <w:pPr>
        <w:pStyle w:val="Prrafodelista"/>
        <w:ind w:left="567"/>
        <w:contextualSpacing/>
        <w:jc w:val="both"/>
        <w:rPr>
          <w:rFonts w:ascii="Tahoma" w:hAnsi="Tahoma" w:cs="Tahoma"/>
          <w:sz w:val="22"/>
          <w:szCs w:val="22"/>
        </w:rPr>
      </w:pPr>
      <w:r w:rsidRPr="00065C48">
        <w:rPr>
          <w:rFonts w:ascii="Tahoma" w:hAnsi="Tahoma" w:cs="Tahoma"/>
          <w:i/>
          <w:sz w:val="22"/>
          <w:szCs w:val="22"/>
        </w:rPr>
        <w:t>En tal situación, conforme a lo dispuesto en el Art. 165 del RELCE, por la presente se le requiere para que cumpla con entregar la obra terminada en un plazo máximo de 10 días contados a partir del día siguiente de recepcionada la presente, bajo apercibimiento de resolver el contrato de obra, sin perjuicio del cobro de la penalidad en que ha incurrido su representada al no cumplir con entregar la obra terminada dentro del plazo contractual estipulado”</w:t>
      </w:r>
    </w:p>
    <w:p w:rsidR="00065C48" w:rsidRPr="00065C48" w:rsidRDefault="00065C48" w:rsidP="00065C48">
      <w:pPr>
        <w:pStyle w:val="Prrafodelista"/>
        <w:ind w:left="567"/>
        <w:contextualSpacing/>
        <w:jc w:val="both"/>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 xml:space="preserve">Asimismo, mediante Carta Notarial Nº 056-2010-AG-PEJSIB-6401, diligenciada notarialmente el 01 de julio de 2010 la Entidad comunicó al Contratista lo siguiente: </w:t>
      </w:r>
    </w:p>
    <w:p w:rsidR="00065C48" w:rsidRPr="00065C48" w:rsidRDefault="00065C48" w:rsidP="00065C48">
      <w:pPr>
        <w:pStyle w:val="Prrafodelista"/>
        <w:ind w:left="567"/>
        <w:contextualSpacing/>
        <w:jc w:val="both"/>
        <w:rPr>
          <w:rFonts w:ascii="Tahoma" w:hAnsi="Tahoma" w:cs="Tahoma"/>
          <w:sz w:val="22"/>
          <w:szCs w:val="22"/>
        </w:rPr>
      </w:pPr>
    </w:p>
    <w:p w:rsidR="00065C48" w:rsidRPr="00065C48" w:rsidRDefault="00065C48" w:rsidP="00065C48">
      <w:pPr>
        <w:pStyle w:val="Prrafodelista"/>
        <w:ind w:left="567"/>
        <w:contextualSpacing/>
        <w:jc w:val="both"/>
        <w:rPr>
          <w:rFonts w:ascii="Tahoma" w:hAnsi="Tahoma" w:cs="Tahoma"/>
          <w:sz w:val="22"/>
          <w:szCs w:val="22"/>
        </w:rPr>
      </w:pPr>
      <w:r w:rsidRPr="00065C48">
        <w:rPr>
          <w:rFonts w:ascii="Tahoma" w:hAnsi="Tahoma" w:cs="Tahoma"/>
          <w:i/>
          <w:sz w:val="22"/>
          <w:szCs w:val="22"/>
        </w:rPr>
        <w:t>“Por la presente, remitida por conducto notarial, remitimos copia de la Resolución Directoral Nº 0141-2010-AG-PEJSIB-6401, que declara resuelto administrativamente en forma total el Contrato de Obra Nº 003-2009-AG-PEJSIB-</w:t>
      </w:r>
      <w:r w:rsidRPr="00065C48">
        <w:rPr>
          <w:rFonts w:ascii="Tahoma" w:hAnsi="Tahoma" w:cs="Tahoma"/>
          <w:i/>
          <w:sz w:val="22"/>
          <w:szCs w:val="22"/>
        </w:rPr>
        <w:lastRenderedPageBreak/>
        <w:t>6401/LP, referente a la ejecución de la obra: “Construcción Camino Vecinal Ocalli-Providencia”; para su conocimiento y fines</w:t>
      </w:r>
      <w:r>
        <w:rPr>
          <w:rFonts w:ascii="Tahoma" w:hAnsi="Tahoma" w:cs="Tahoma"/>
          <w:i/>
          <w:sz w:val="22"/>
          <w:szCs w:val="22"/>
        </w:rPr>
        <w:t>,</w:t>
      </w:r>
    </w:p>
    <w:p w:rsidR="00065C48" w:rsidRPr="00065C48" w:rsidRDefault="00065C48" w:rsidP="00065C48">
      <w:pPr>
        <w:pStyle w:val="Prrafodelista"/>
        <w:ind w:left="567"/>
        <w:contextualSpacing/>
        <w:jc w:val="both"/>
        <w:rPr>
          <w:rFonts w:ascii="Tahoma" w:hAnsi="Tahoma" w:cs="Tahoma"/>
          <w:sz w:val="22"/>
          <w:szCs w:val="22"/>
        </w:rPr>
      </w:pPr>
      <w:r w:rsidRPr="00065C48">
        <w:rPr>
          <w:rFonts w:ascii="Tahoma" w:hAnsi="Tahoma" w:cs="Tahoma"/>
          <w:i/>
          <w:sz w:val="22"/>
          <w:szCs w:val="22"/>
        </w:rPr>
        <w:t>Sin otro particular quedamos de usted.”</w:t>
      </w:r>
    </w:p>
    <w:p w:rsidR="00065C48" w:rsidRPr="00065C48" w:rsidRDefault="00065C48" w:rsidP="00065C48">
      <w:pPr>
        <w:pStyle w:val="Prrafodelista"/>
        <w:ind w:left="567"/>
        <w:contextualSpacing/>
        <w:jc w:val="both"/>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En tal sentido se aprecia que la causal utilizada por la Entidad para resolver el Contrato fue el establecido en el numeral 2 del artículo 168 del Reglamento; es decir, que el Contratista llegó a acumular el monto máximo de penalidad por mora.</w:t>
      </w:r>
    </w:p>
    <w:p w:rsidR="00065C48" w:rsidRPr="00065C48" w:rsidRDefault="00065C48" w:rsidP="00065C48">
      <w:pPr>
        <w:pStyle w:val="Prrafodelista"/>
        <w:ind w:left="567"/>
        <w:contextualSpacing/>
        <w:jc w:val="both"/>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Teniendo en cuenta ello, y tal como lo establece el tercer párrafo del artículo 169 del Reglamento referido al procedimiento para la resolución del Contrato, no será necesario efectuar un requerimiento previo cuando la resolución del contrato se deba a la acumulación del monto máximo de penalidad por mora, o por otras penalidades, o cuando la situación de incumplimiento no pueda ser revertida. En este caso, bastará comunicar al contratista mediante carta notarial la decisión de resolver el contrato.</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 xml:space="preserve">Sin embargo, se advierte que la Entidad optó, aun no siendo necesario según lo mencionado en el párrafo anterior, por efectuar un requerimiento previo mediante la Carta Notarial Nº 043-2010-AG-PEJSIB-6401. </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En ese sentido,  teniendo en cuenta que en caso la Entidad decida por la posibilidad de efectuar el requerimiento previo mediante Carta Notarial, éste debe enmarcarse dentro de lo normado en el artículo 169 del Reglamento, el cual establece que para el caso de obras la Entidad le otorgará necesariamente al Contratista un plazo de quince (15) días a fin de satisfacer el cumplimiento de las obligaciones contraídas por éste, ya que de lo contrario, al no seguir dicho procedimiento establecido, la Entidad obraría según su libre albedrio y elección, contraviniendo lo expresamente establecido en la normativa, teniendo en cuenta que el plazo mencionado y previsto por la norma de la materia, constituye un límite a la actuación de la Entidad a fin que ésta no otorgue plazos arbitrarios, mas aun si se trata de satisfacer la propia necesidad de la Entidad de contar con la prestación bajo el cual contrató.</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Adicionalmente a ello, cabe destacar que la formulación del requerimiento previo a la resolución del Contrato de parte de la Administración hacia el Administrado es buscar que éste último tenga la posibilidad efectiva de cumplir con sus obligaciones contractuales, máxime si se trata del caso de obras. Por lo tanto la finalidad de la norma consiste en que a través de dicho requerimiento se le otorgue al Contratista la viabilidad de cumplimiento, siendo éste el interés y voluntad expresados por la Entidad al otorgarle dicha posibilidad, ya que de lo contrario, puede directamente comunicar al contratista la resolución del Contrato.</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 xml:space="preserve">En efecto, la Administración debe actuar con respeto a las leyes, dentro de sus facultades y de acuerdo a los fines para lo cual fueron conferidas a tenor del </w:t>
      </w:r>
      <w:r w:rsidRPr="00065C48">
        <w:rPr>
          <w:rFonts w:ascii="Tahoma" w:hAnsi="Tahoma" w:cs="Tahoma"/>
          <w:sz w:val="22"/>
          <w:szCs w:val="22"/>
        </w:rPr>
        <w:lastRenderedPageBreak/>
        <w:t xml:space="preserve">Principio de Legalidad, recogido en el inciso 1.1 del Artículo IV del Título Preliminar de la Ley Nº 27444, Ley del Procedimiento Administrativo General, donde la </w:t>
      </w:r>
      <w:r w:rsidRPr="00065C48">
        <w:rPr>
          <w:rFonts w:ascii="Tahoma" w:hAnsi="Tahoma" w:cs="Tahoma"/>
          <w:b/>
          <w:sz w:val="22"/>
          <w:szCs w:val="22"/>
        </w:rPr>
        <w:t>legalidad formal</w:t>
      </w:r>
      <w:r w:rsidRPr="00065C48">
        <w:rPr>
          <w:rFonts w:ascii="Tahoma" w:hAnsi="Tahoma" w:cs="Tahoma"/>
          <w:sz w:val="22"/>
          <w:szCs w:val="22"/>
        </w:rPr>
        <w:t xml:space="preserve">, </w:t>
      </w:r>
      <w:r w:rsidRPr="00065C48">
        <w:rPr>
          <w:rFonts w:ascii="Tahoma" w:hAnsi="Tahoma" w:cs="Tahoma"/>
          <w:sz w:val="22"/>
          <w:szCs w:val="22"/>
          <w:u w:val="single"/>
        </w:rPr>
        <w:t>exige el sometimiento al procedimiento previamente regulado</w:t>
      </w:r>
      <w:r w:rsidRPr="00065C48">
        <w:rPr>
          <w:rFonts w:ascii="Tahoma" w:hAnsi="Tahoma" w:cs="Tahoma"/>
          <w:sz w:val="22"/>
          <w:szCs w:val="22"/>
        </w:rPr>
        <w:t xml:space="preserve">, la legalidad sustantiva, respecto al contenido de las materias que le son atribuidas y la </w:t>
      </w:r>
      <w:r w:rsidRPr="00065C48">
        <w:rPr>
          <w:rFonts w:ascii="Tahoma" w:hAnsi="Tahoma" w:cs="Tahoma"/>
          <w:b/>
          <w:sz w:val="22"/>
          <w:szCs w:val="22"/>
        </w:rPr>
        <w:t>legalidad teleológica</w:t>
      </w:r>
      <w:r w:rsidRPr="00065C48">
        <w:rPr>
          <w:rFonts w:ascii="Tahoma" w:hAnsi="Tahoma" w:cs="Tahoma"/>
          <w:sz w:val="22"/>
          <w:szCs w:val="22"/>
        </w:rPr>
        <w:t xml:space="preserve">, </w:t>
      </w:r>
      <w:r w:rsidRPr="00065C48">
        <w:rPr>
          <w:rFonts w:ascii="Tahoma" w:hAnsi="Tahoma" w:cs="Tahoma"/>
          <w:sz w:val="22"/>
          <w:szCs w:val="22"/>
          <w:u w:val="single"/>
        </w:rPr>
        <w:t>que obliga al cumplimiento de los fines que el legislador estableció</w:t>
      </w:r>
      <w:r w:rsidRPr="00065C48">
        <w:rPr>
          <w:rFonts w:ascii="Tahoma" w:hAnsi="Tahoma" w:cs="Tahoma"/>
          <w:sz w:val="22"/>
          <w:szCs w:val="22"/>
        </w:rPr>
        <w:t>.</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rrafodelista"/>
        <w:widowControl/>
        <w:numPr>
          <w:ilvl w:val="0"/>
          <w:numId w:val="9"/>
        </w:numPr>
        <w:suppressAutoHyphens w:val="0"/>
        <w:ind w:left="567" w:hanging="567"/>
        <w:contextualSpacing/>
        <w:jc w:val="both"/>
        <w:rPr>
          <w:rFonts w:ascii="Tahoma" w:hAnsi="Tahoma" w:cs="Tahoma"/>
          <w:sz w:val="22"/>
          <w:szCs w:val="22"/>
        </w:rPr>
      </w:pPr>
      <w:r w:rsidRPr="00065C48">
        <w:rPr>
          <w:rFonts w:ascii="Tahoma" w:hAnsi="Tahoma" w:cs="Tahoma"/>
          <w:sz w:val="22"/>
          <w:szCs w:val="22"/>
        </w:rPr>
        <w:t>Sin embargo, en el presente caso, la Entidad le otorgó al Contratista un plazo de diez (10) días a fin de entregar la Obra terminada, plazo que no se ajusta a lo establecido en el artículo 169 del Reglamento; ya que, tal como se mencionó precedentemente, éste dispone que el plazo otorgado al Contratista con la finalidad de entregar la Obra será de quince (15) días. En ese sentido, la Entidad pudo resolver directamente el Contrato, mas fue prerrogativa de la Entidad, en virtud de otorgarle la posibilidad al Contratista de cumplir con su obligación, brindarle la posibilidad de cumplimiento, para lo cual debió seguir el procedimiento legalmente constituido referido al requerimiento previo establecido en la norma concerniente.</w:t>
      </w:r>
    </w:p>
    <w:p w:rsidR="00065C48" w:rsidRPr="00065C48" w:rsidRDefault="00065C48" w:rsidP="00065C48">
      <w:pPr>
        <w:pStyle w:val="Prrafodelista"/>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Considerando lo manifestado, este Tribunal considera que la Entidad no ha observado la formalidad respecto del procedimiento a seguir para comunicar finalmente la resolución del Contrato de Obra Nº 003-2009-AG-PEJSIB-6401/AMC, no configurándose el presupuesto necesario para la infracción prevista en el literal b) del artículo 51 de la Ley, en concordancia con el literal b) del artículo 237 del Reglamento, por lo tanto, corresponde declarar no ha lugar la imposición de sanción administrativa contra el Contratista por sus supuesta responsabilidad al dar lugar a la resolución del contrato.</w:t>
      </w:r>
    </w:p>
    <w:p w:rsidR="00065C48" w:rsidRPr="00065C48" w:rsidRDefault="00065C48" w:rsidP="00065C48">
      <w:pPr>
        <w:pStyle w:val="p1"/>
        <w:tabs>
          <w:tab w:val="center" w:pos="5832"/>
          <w:tab w:val="right" w:pos="8789"/>
        </w:tabs>
        <w:ind w:left="567" w:right="-2"/>
        <w:rPr>
          <w:rFonts w:ascii="Tahoma" w:hAnsi="Tahoma" w:cs="Tahoma"/>
          <w:sz w:val="22"/>
          <w:szCs w:val="22"/>
        </w:rPr>
      </w:pPr>
    </w:p>
    <w:p w:rsidR="00065C48" w:rsidRPr="00065C48" w:rsidRDefault="00065C48" w:rsidP="00065C48">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065C48">
        <w:rPr>
          <w:rFonts w:ascii="Tahoma" w:hAnsi="Tahoma" w:cs="Tahoma"/>
          <w:sz w:val="22"/>
          <w:szCs w:val="22"/>
        </w:rPr>
        <w:t>Sin perjuicio de lo anterior, y considerando que la Entidad no cumplió el procedimiento previsto en el artículo 169 del Reglamento, deberá comunicarse de esta situación a la Oficina de Control Institucional de la Entidad o la dependencia administrativa que haga sus veces; para su conocimiento y fines pertinentes.</w:t>
      </w:r>
    </w:p>
    <w:p w:rsidR="00065C48" w:rsidRPr="00065C48" w:rsidRDefault="00065C48" w:rsidP="00065C48">
      <w:pPr>
        <w:jc w:val="both"/>
        <w:rPr>
          <w:rFonts w:ascii="Tahoma" w:hAnsi="Tahoma" w:cs="Tahoma"/>
          <w:sz w:val="22"/>
          <w:szCs w:val="22"/>
          <w:lang w:val="es-PE"/>
        </w:rPr>
      </w:pPr>
    </w:p>
    <w:p w:rsidR="00065C48" w:rsidRPr="00065C48" w:rsidRDefault="00065C48" w:rsidP="00065C48">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065C48">
        <w:rPr>
          <w:rFonts w:ascii="Tahoma" w:eastAsiaTheme="minorHAnsi" w:hAnsi="Tahoma" w:cs="Tahoma"/>
          <w:color w:val="000000"/>
          <w:sz w:val="22"/>
          <w:szCs w:val="22"/>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65C48" w:rsidRDefault="00065C48" w:rsidP="00065C48">
      <w:pPr>
        <w:ind w:firstLine="426"/>
        <w:jc w:val="both"/>
        <w:rPr>
          <w:rFonts w:ascii="Tahoma" w:hAnsi="Tahoma" w:cs="Tahoma"/>
          <w:sz w:val="22"/>
          <w:szCs w:val="22"/>
        </w:rPr>
      </w:pPr>
    </w:p>
    <w:p w:rsidR="00065C48" w:rsidRPr="00065C48" w:rsidRDefault="00065C48" w:rsidP="00065C48">
      <w:pPr>
        <w:ind w:firstLine="426"/>
        <w:jc w:val="both"/>
        <w:rPr>
          <w:rFonts w:ascii="Tahoma" w:hAnsi="Tahoma" w:cs="Tahoma"/>
          <w:sz w:val="22"/>
          <w:szCs w:val="22"/>
        </w:rPr>
      </w:pPr>
    </w:p>
    <w:p w:rsidR="00065C48" w:rsidRPr="00065C48" w:rsidRDefault="00065C48" w:rsidP="00065C48">
      <w:pPr>
        <w:ind w:firstLine="567"/>
        <w:jc w:val="both"/>
        <w:rPr>
          <w:rFonts w:ascii="Tahoma" w:hAnsi="Tahoma" w:cs="Tahoma"/>
          <w:b/>
          <w:sz w:val="22"/>
          <w:szCs w:val="22"/>
        </w:rPr>
      </w:pPr>
      <w:r w:rsidRPr="00065C48">
        <w:rPr>
          <w:rFonts w:ascii="Tahoma" w:hAnsi="Tahoma" w:cs="Tahoma"/>
          <w:b/>
          <w:sz w:val="22"/>
          <w:szCs w:val="22"/>
        </w:rPr>
        <w:lastRenderedPageBreak/>
        <w:t xml:space="preserve">LA SALA RESUELVE: </w:t>
      </w:r>
    </w:p>
    <w:p w:rsidR="00065C48" w:rsidRPr="00065C48" w:rsidRDefault="00065C48" w:rsidP="00065C48">
      <w:pPr>
        <w:jc w:val="both"/>
        <w:rPr>
          <w:rFonts w:ascii="Tahoma" w:hAnsi="Tahoma" w:cs="Tahoma"/>
          <w:snapToGrid w:val="0"/>
          <w:sz w:val="22"/>
          <w:szCs w:val="22"/>
        </w:rPr>
      </w:pPr>
    </w:p>
    <w:p w:rsidR="00065C48" w:rsidRPr="00065C48" w:rsidRDefault="00065C48" w:rsidP="00065C48">
      <w:pPr>
        <w:pStyle w:val="Prrafodelista"/>
        <w:numPr>
          <w:ilvl w:val="0"/>
          <w:numId w:val="10"/>
        </w:numPr>
        <w:ind w:left="567"/>
        <w:contextualSpacing/>
        <w:jc w:val="both"/>
        <w:rPr>
          <w:rFonts w:ascii="Tahoma" w:hAnsi="Tahoma" w:cs="Tahoma"/>
          <w:sz w:val="22"/>
          <w:szCs w:val="22"/>
        </w:rPr>
      </w:pPr>
      <w:r w:rsidRPr="00065C48">
        <w:rPr>
          <w:rFonts w:ascii="Tahoma" w:hAnsi="Tahoma" w:cs="Tahoma"/>
          <w:sz w:val="22"/>
          <w:szCs w:val="22"/>
        </w:rPr>
        <w:t xml:space="preserve">Declarar  no ha lugar la imposición de sanción contra el Consorcio PROVIDENCIA, integrado por las empresas Constructora Arias &amp; Abanto S.A.C. y Aresa Contratistas Generales S.A.C., por la comisión de la infracción </w:t>
      </w:r>
      <w:r w:rsidRPr="00065C48">
        <w:rPr>
          <w:rFonts w:ascii="Tahoma" w:eastAsia="MS Mincho" w:hAnsi="Tahoma" w:cs="Tahoma"/>
          <w:color w:val="000000" w:themeColor="text1"/>
          <w:sz w:val="22"/>
          <w:szCs w:val="22"/>
        </w:rPr>
        <w:t>tipificada</w:t>
      </w:r>
      <w:r w:rsidRPr="00065C48">
        <w:rPr>
          <w:rFonts w:ascii="Tahoma" w:hAnsi="Tahoma" w:cs="Tahoma"/>
          <w:sz w:val="22"/>
          <w:szCs w:val="22"/>
        </w:rPr>
        <w:t xml:space="preserve"> en de sanción tipificada en el literal b) del artículo 51 de la Ley de Contrataciones del Estado en concordancia del literal b) del artículo 237 del Reglamento de la Ley de Contrataciones del Estado.</w:t>
      </w:r>
    </w:p>
    <w:p w:rsidR="00065C48" w:rsidRPr="00065C48" w:rsidRDefault="00065C48" w:rsidP="00065C48">
      <w:pPr>
        <w:pStyle w:val="Prrafodelista"/>
        <w:ind w:left="567"/>
        <w:contextualSpacing/>
        <w:jc w:val="both"/>
        <w:rPr>
          <w:rFonts w:ascii="Tahoma" w:hAnsi="Tahoma" w:cs="Tahoma"/>
          <w:sz w:val="22"/>
          <w:szCs w:val="22"/>
        </w:rPr>
      </w:pPr>
    </w:p>
    <w:p w:rsidR="00065C48" w:rsidRPr="00065C48" w:rsidRDefault="00065C48" w:rsidP="00065C48">
      <w:pPr>
        <w:pStyle w:val="Prrafodelista"/>
        <w:numPr>
          <w:ilvl w:val="0"/>
          <w:numId w:val="10"/>
        </w:numPr>
        <w:ind w:left="567"/>
        <w:contextualSpacing/>
        <w:jc w:val="both"/>
        <w:rPr>
          <w:rFonts w:ascii="Tahoma" w:hAnsi="Tahoma" w:cs="Tahoma"/>
          <w:sz w:val="22"/>
          <w:szCs w:val="22"/>
        </w:rPr>
      </w:pPr>
      <w:r w:rsidRPr="00065C48">
        <w:rPr>
          <w:rFonts w:ascii="Tahoma" w:hAnsi="Tahoma" w:cs="Tahoma"/>
          <w:sz w:val="22"/>
          <w:szCs w:val="22"/>
        </w:rPr>
        <w:t>Poner en conocimiento del Órgano de Control Institucional de la Entidad la presente Resolución, para su conocimiento y fines pertinentes.</w:t>
      </w:r>
    </w:p>
    <w:p w:rsidR="00065C48" w:rsidRPr="00065C48" w:rsidRDefault="00065C48" w:rsidP="00065C48">
      <w:pPr>
        <w:tabs>
          <w:tab w:val="left" w:pos="180"/>
          <w:tab w:val="left" w:pos="540"/>
        </w:tabs>
        <w:ind w:left="540"/>
        <w:jc w:val="both"/>
        <w:rPr>
          <w:rFonts w:ascii="Tahoma" w:hAnsi="Tahoma" w:cs="Tahoma"/>
          <w:sz w:val="22"/>
          <w:szCs w:val="22"/>
          <w:lang w:val="es-ES_tradnl"/>
        </w:rPr>
      </w:pPr>
    </w:p>
    <w:p w:rsidR="00065C48" w:rsidRPr="00065C48" w:rsidRDefault="00065C48" w:rsidP="00065C48">
      <w:pPr>
        <w:pStyle w:val="Prrafodelista"/>
        <w:ind w:left="426"/>
        <w:jc w:val="both"/>
        <w:rPr>
          <w:rFonts w:ascii="Tahoma" w:hAnsi="Tahoma" w:cs="Tahoma"/>
          <w:color w:val="000000" w:themeColor="text1"/>
          <w:sz w:val="22"/>
          <w:szCs w:val="22"/>
          <w:lang w:val="es-ES"/>
        </w:rPr>
      </w:pPr>
    </w:p>
    <w:p w:rsidR="00065C48" w:rsidRPr="00065C48" w:rsidRDefault="00065C48" w:rsidP="00065C48">
      <w:pPr>
        <w:pStyle w:val="Textoindependiente21"/>
        <w:ind w:firstLine="567"/>
        <w:rPr>
          <w:rFonts w:cs="Tahoma"/>
          <w:szCs w:val="22"/>
        </w:rPr>
      </w:pPr>
      <w:r w:rsidRPr="00065C48">
        <w:rPr>
          <w:rFonts w:cs="Tahoma"/>
          <w:szCs w:val="22"/>
        </w:rPr>
        <w:t>Regístrese, comuníquese y publíquese.</w:t>
      </w: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z w:val="22"/>
          <w:szCs w:val="22"/>
        </w:rPr>
      </w:pPr>
    </w:p>
    <w:p w:rsidR="00065C48" w:rsidRPr="00065C48" w:rsidRDefault="00065C48" w:rsidP="00065C48">
      <w:pPr>
        <w:jc w:val="center"/>
        <w:rPr>
          <w:rFonts w:ascii="Tahoma" w:hAnsi="Tahoma" w:cs="Tahoma"/>
          <w:b/>
          <w:shadow/>
          <w:sz w:val="22"/>
          <w:szCs w:val="22"/>
          <w:lang w:val="pt-BR"/>
        </w:rPr>
      </w:pPr>
      <w:r w:rsidRPr="00065C48">
        <w:rPr>
          <w:rFonts w:ascii="Tahoma" w:hAnsi="Tahoma" w:cs="Tahoma"/>
          <w:b/>
          <w:shadow/>
          <w:sz w:val="22"/>
          <w:szCs w:val="22"/>
          <w:lang w:val="pt-BR"/>
        </w:rPr>
        <w:t>PRESIDENTE</w:t>
      </w:r>
    </w:p>
    <w:p w:rsidR="00065C48" w:rsidRPr="00065C48" w:rsidRDefault="00065C48" w:rsidP="00065C48">
      <w:pPr>
        <w:ind w:firstLine="708"/>
        <w:rPr>
          <w:rFonts w:ascii="Tahoma" w:hAnsi="Tahoma" w:cs="Tahoma"/>
          <w:b/>
          <w:shadow/>
          <w:sz w:val="22"/>
          <w:szCs w:val="22"/>
          <w:lang w:val="pt-BR"/>
        </w:rPr>
      </w:pPr>
    </w:p>
    <w:p w:rsidR="00065C48" w:rsidRPr="00065C48" w:rsidRDefault="00065C48" w:rsidP="00065C48">
      <w:pPr>
        <w:ind w:firstLine="708"/>
        <w:rPr>
          <w:rFonts w:ascii="Tahoma" w:hAnsi="Tahoma" w:cs="Tahoma"/>
          <w:b/>
          <w:shadow/>
          <w:sz w:val="22"/>
          <w:szCs w:val="22"/>
          <w:lang w:val="pt-BR"/>
        </w:rPr>
      </w:pPr>
      <w:r w:rsidRPr="00065C48">
        <w:rPr>
          <w:rFonts w:ascii="Tahoma" w:hAnsi="Tahoma" w:cs="Tahoma"/>
          <w:b/>
          <w:shadow/>
          <w:sz w:val="22"/>
          <w:szCs w:val="22"/>
          <w:lang w:val="pt-BR"/>
        </w:rPr>
        <w:t xml:space="preserve">VOCAL           </w:t>
      </w:r>
      <w:r w:rsidRPr="00065C48">
        <w:rPr>
          <w:rFonts w:ascii="Tahoma" w:hAnsi="Tahoma" w:cs="Tahoma"/>
          <w:b/>
          <w:shadow/>
          <w:sz w:val="22"/>
          <w:szCs w:val="22"/>
          <w:lang w:val="pt-BR"/>
        </w:rPr>
        <w:tab/>
      </w:r>
      <w:r w:rsidRPr="00065C48">
        <w:rPr>
          <w:rFonts w:ascii="Tahoma" w:hAnsi="Tahoma" w:cs="Tahoma"/>
          <w:b/>
          <w:shadow/>
          <w:sz w:val="22"/>
          <w:szCs w:val="22"/>
          <w:lang w:val="pt-BR"/>
        </w:rPr>
        <w:tab/>
        <w:t xml:space="preserve">                                                                 VOCAL</w:t>
      </w:r>
    </w:p>
    <w:p w:rsidR="00065C48" w:rsidRPr="00065C48" w:rsidRDefault="00065C48" w:rsidP="00065C48">
      <w:pPr>
        <w:rPr>
          <w:rFonts w:ascii="Tahoma" w:hAnsi="Tahoma" w:cs="Tahoma"/>
          <w:sz w:val="22"/>
          <w:szCs w:val="22"/>
          <w:lang w:val="pt-BR"/>
        </w:rPr>
      </w:pPr>
    </w:p>
    <w:p w:rsidR="00065C48" w:rsidRPr="00065C48" w:rsidRDefault="00065C48" w:rsidP="00065C48">
      <w:pPr>
        <w:rPr>
          <w:rFonts w:ascii="Tahoma" w:hAnsi="Tahoma" w:cs="Tahoma"/>
          <w:sz w:val="22"/>
          <w:szCs w:val="22"/>
          <w:lang w:val="pt-BR"/>
        </w:rPr>
      </w:pPr>
    </w:p>
    <w:p w:rsidR="00065C48" w:rsidRPr="00065C48" w:rsidRDefault="00065C48" w:rsidP="00065C48">
      <w:pPr>
        <w:jc w:val="both"/>
        <w:rPr>
          <w:rFonts w:ascii="Tahoma" w:hAnsi="Tahoma" w:cs="Tahoma"/>
          <w:sz w:val="22"/>
          <w:szCs w:val="22"/>
          <w:lang w:val="pt-BR"/>
        </w:rPr>
      </w:pPr>
      <w:r w:rsidRPr="00065C48">
        <w:rPr>
          <w:rFonts w:ascii="Tahoma" w:hAnsi="Tahoma" w:cs="Tahoma"/>
          <w:sz w:val="22"/>
          <w:szCs w:val="22"/>
          <w:lang w:val="pt-BR"/>
        </w:rPr>
        <w:t>ss.</w:t>
      </w:r>
    </w:p>
    <w:p w:rsidR="00065C48" w:rsidRPr="00065C48" w:rsidRDefault="00065C48" w:rsidP="00065C48">
      <w:pPr>
        <w:pStyle w:val="Textoindependiente21"/>
        <w:tabs>
          <w:tab w:val="left" w:pos="5250"/>
        </w:tabs>
        <w:rPr>
          <w:rFonts w:cs="Tahoma"/>
          <w:szCs w:val="22"/>
          <w:lang w:val="pt-BR"/>
        </w:rPr>
      </w:pPr>
      <w:r w:rsidRPr="00065C48">
        <w:rPr>
          <w:rFonts w:cs="Tahoma"/>
          <w:szCs w:val="22"/>
          <w:lang w:val="pt-BR"/>
        </w:rPr>
        <w:t>Navas Rondón.</w:t>
      </w:r>
    </w:p>
    <w:p w:rsidR="00065C48" w:rsidRPr="00065C48" w:rsidRDefault="00065C48" w:rsidP="00065C48">
      <w:pPr>
        <w:pStyle w:val="Textoindependiente21"/>
        <w:tabs>
          <w:tab w:val="left" w:pos="5250"/>
        </w:tabs>
        <w:rPr>
          <w:rFonts w:cs="Tahoma"/>
          <w:szCs w:val="22"/>
          <w:lang w:val="pt-BR"/>
        </w:rPr>
      </w:pPr>
      <w:r w:rsidRPr="00065C48">
        <w:rPr>
          <w:rFonts w:cs="Tahoma"/>
          <w:szCs w:val="22"/>
        </w:rPr>
        <w:t>Ramírez Maynetto.</w:t>
      </w:r>
    </w:p>
    <w:p w:rsidR="00065C48" w:rsidRPr="00065C48" w:rsidRDefault="00065C48" w:rsidP="00065C48">
      <w:pPr>
        <w:pStyle w:val="Textoindependiente21"/>
        <w:tabs>
          <w:tab w:val="left" w:pos="5250"/>
        </w:tabs>
        <w:rPr>
          <w:rFonts w:cs="Tahoma"/>
          <w:szCs w:val="22"/>
          <w:lang w:val="pt-BR"/>
        </w:rPr>
      </w:pPr>
      <w:r w:rsidRPr="00065C48">
        <w:rPr>
          <w:rFonts w:cs="Tahoma"/>
          <w:szCs w:val="22"/>
          <w:lang w:val="pt-BR"/>
        </w:rPr>
        <w:t>Basulto Liewald.</w:t>
      </w:r>
    </w:p>
    <w:p w:rsidR="00065C48" w:rsidRPr="00065C48" w:rsidRDefault="00065C48" w:rsidP="00065C48">
      <w:pPr>
        <w:jc w:val="both"/>
        <w:rPr>
          <w:rFonts w:ascii="Tahoma" w:hAnsi="Tahoma" w:cs="Tahoma"/>
          <w:sz w:val="22"/>
          <w:szCs w:val="22"/>
        </w:rPr>
      </w:pPr>
    </w:p>
    <w:p w:rsidR="001D5C36" w:rsidRPr="00065C48" w:rsidRDefault="00277E3B">
      <w:pPr>
        <w:rPr>
          <w:rFonts w:ascii="Tahoma" w:hAnsi="Tahoma" w:cs="Tahoma"/>
          <w:sz w:val="22"/>
          <w:szCs w:val="22"/>
        </w:rPr>
      </w:pPr>
    </w:p>
    <w:sectPr w:rsidR="001D5C36" w:rsidRPr="00065C48"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E3B" w:rsidRDefault="00277E3B" w:rsidP="00065C48">
      <w:r>
        <w:separator/>
      </w:r>
    </w:p>
  </w:endnote>
  <w:endnote w:type="continuationSeparator" w:id="1">
    <w:p w:rsidR="00277E3B" w:rsidRDefault="00277E3B" w:rsidP="00065C48">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E7106D">
            <w:pPr>
              <w:pStyle w:val="Piedepgina"/>
              <w:jc w:val="center"/>
            </w:pPr>
            <w:r>
              <w:t xml:space="preserve">Página </w:t>
            </w:r>
            <w:r w:rsidR="004673B7">
              <w:rPr>
                <w:b/>
              </w:rPr>
              <w:fldChar w:fldCharType="begin"/>
            </w:r>
            <w:r>
              <w:rPr>
                <w:b/>
              </w:rPr>
              <w:instrText>PAGE</w:instrText>
            </w:r>
            <w:r w:rsidR="004673B7">
              <w:rPr>
                <w:b/>
              </w:rPr>
              <w:fldChar w:fldCharType="separate"/>
            </w:r>
            <w:r w:rsidR="000C3895">
              <w:rPr>
                <w:b/>
                <w:noProof/>
              </w:rPr>
              <w:t>1</w:t>
            </w:r>
            <w:r w:rsidR="004673B7">
              <w:rPr>
                <w:b/>
              </w:rPr>
              <w:fldChar w:fldCharType="end"/>
            </w:r>
            <w:r>
              <w:t xml:space="preserve"> de </w:t>
            </w:r>
            <w:r w:rsidR="004673B7">
              <w:rPr>
                <w:b/>
              </w:rPr>
              <w:fldChar w:fldCharType="begin"/>
            </w:r>
            <w:r>
              <w:rPr>
                <w:b/>
              </w:rPr>
              <w:instrText>NUMPAGES</w:instrText>
            </w:r>
            <w:r w:rsidR="004673B7">
              <w:rPr>
                <w:b/>
              </w:rPr>
              <w:fldChar w:fldCharType="separate"/>
            </w:r>
            <w:r w:rsidR="000C3895">
              <w:rPr>
                <w:b/>
                <w:noProof/>
              </w:rPr>
              <w:t>9</w:t>
            </w:r>
            <w:r w:rsidR="004673B7">
              <w:rPr>
                <w:b/>
              </w:rPr>
              <w:fldChar w:fldCharType="end"/>
            </w:r>
          </w:p>
        </w:sdtContent>
      </w:sdt>
    </w:sdtContent>
  </w:sdt>
  <w:p w:rsidR="0035353E" w:rsidRDefault="00277E3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E3B" w:rsidRDefault="00277E3B" w:rsidP="00065C48">
      <w:r>
        <w:separator/>
      </w:r>
    </w:p>
  </w:footnote>
  <w:footnote w:type="continuationSeparator" w:id="1">
    <w:p w:rsidR="00277E3B" w:rsidRDefault="00277E3B" w:rsidP="00065C48">
      <w:r>
        <w:continuationSeparator/>
      </w:r>
    </w:p>
  </w:footnote>
  <w:footnote w:id="2">
    <w:p w:rsidR="00065C48" w:rsidRPr="00DA7A47" w:rsidRDefault="00065C48" w:rsidP="00065C48">
      <w:pPr>
        <w:pStyle w:val="Sinespaciado"/>
        <w:ind w:left="709"/>
        <w:jc w:val="both"/>
        <w:rPr>
          <w:rFonts w:ascii="Tahoma" w:hAnsi="Tahoma" w:cs="Tahoma"/>
          <w:b/>
          <w:i/>
          <w:sz w:val="18"/>
          <w:szCs w:val="18"/>
          <w:lang w:val="es-ES_tradnl"/>
        </w:rPr>
      </w:pPr>
      <w:r w:rsidRPr="0024276C">
        <w:rPr>
          <w:rStyle w:val="Refdenotaalpie"/>
          <w:rFonts w:ascii="Tahoma" w:hAnsi="Tahoma" w:cs="Tahoma"/>
          <w:sz w:val="18"/>
          <w:szCs w:val="18"/>
        </w:rPr>
        <w:footnoteRef/>
      </w:r>
      <w:r w:rsidRPr="0024276C">
        <w:rPr>
          <w:rFonts w:ascii="Tahoma" w:hAnsi="Tahoma" w:cs="Tahoma"/>
          <w:sz w:val="18"/>
          <w:szCs w:val="18"/>
        </w:rPr>
        <w:t xml:space="preserve"> </w:t>
      </w:r>
      <w:r w:rsidRPr="00DA7A47">
        <w:rPr>
          <w:rFonts w:ascii="Tahoma" w:hAnsi="Tahoma" w:cs="Tahoma"/>
          <w:b/>
          <w:i/>
          <w:sz w:val="18"/>
          <w:szCs w:val="18"/>
          <w:lang w:val="es-ES_tradnl"/>
        </w:rPr>
        <w:t xml:space="preserve">Artículo </w:t>
      </w:r>
      <w:r>
        <w:rPr>
          <w:rFonts w:ascii="Tahoma" w:hAnsi="Tahoma" w:cs="Tahoma"/>
          <w:b/>
          <w:i/>
          <w:sz w:val="18"/>
          <w:szCs w:val="18"/>
          <w:lang w:val="es-ES_tradnl"/>
        </w:rPr>
        <w:t>237</w:t>
      </w:r>
      <w:r w:rsidRPr="00DA7A47">
        <w:rPr>
          <w:rFonts w:ascii="Tahoma" w:hAnsi="Tahoma" w:cs="Tahoma"/>
          <w:b/>
          <w:i/>
          <w:sz w:val="18"/>
          <w:szCs w:val="18"/>
          <w:lang w:val="es-ES_tradnl"/>
        </w:rPr>
        <w:t xml:space="preserve">.- </w:t>
      </w:r>
      <w:r>
        <w:rPr>
          <w:rFonts w:ascii="Tahoma" w:hAnsi="Tahoma" w:cs="Tahoma"/>
          <w:b/>
          <w:i/>
          <w:sz w:val="18"/>
          <w:szCs w:val="18"/>
          <w:lang w:val="es-ES_tradnl"/>
        </w:rPr>
        <w:t>Infracciones y Sanciones Administrativas</w:t>
      </w:r>
      <w:r w:rsidRPr="00DA7A47">
        <w:rPr>
          <w:rFonts w:ascii="Tahoma" w:hAnsi="Tahoma" w:cs="Tahoma"/>
          <w:b/>
          <w:i/>
          <w:sz w:val="18"/>
          <w:szCs w:val="18"/>
          <w:lang w:val="es-ES_tradnl"/>
        </w:rPr>
        <w:t xml:space="preserve">. </w:t>
      </w:r>
    </w:p>
    <w:p w:rsidR="00065C48" w:rsidRPr="00DA7A47" w:rsidRDefault="00065C48" w:rsidP="00065C48">
      <w:pPr>
        <w:pStyle w:val="Sinespaciado"/>
        <w:ind w:left="709"/>
        <w:jc w:val="both"/>
        <w:rPr>
          <w:rFonts w:ascii="Tahoma" w:hAnsi="Tahoma" w:cs="Tahoma"/>
          <w:i/>
          <w:sz w:val="18"/>
          <w:szCs w:val="18"/>
          <w:lang w:val="es-ES_tradnl"/>
        </w:rPr>
      </w:pPr>
      <w:r>
        <w:rPr>
          <w:rFonts w:ascii="Tahoma" w:hAnsi="Tahoma" w:cs="Tahoma"/>
          <w:i/>
          <w:sz w:val="18"/>
          <w:szCs w:val="18"/>
          <w:lang w:val="es-ES_tradnl"/>
        </w:rPr>
        <w:t xml:space="preserve">Se impondrá sanción administrativa </w:t>
      </w:r>
      <w:r w:rsidRPr="00DA7A47">
        <w:rPr>
          <w:rFonts w:ascii="Tahoma" w:hAnsi="Tahoma" w:cs="Tahoma"/>
          <w:i/>
          <w:sz w:val="18"/>
          <w:szCs w:val="18"/>
          <w:lang w:val="es-ES_tradnl"/>
        </w:rPr>
        <w:t>a los proveedores, participantes, postores y/o contratistas que:</w:t>
      </w:r>
    </w:p>
    <w:p w:rsidR="00065C48" w:rsidRPr="00DA7A47" w:rsidRDefault="00065C48" w:rsidP="00065C48">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w:t>
      </w:r>
    </w:p>
    <w:p w:rsidR="00065C48" w:rsidRDefault="00065C48" w:rsidP="00065C48">
      <w:pPr>
        <w:pStyle w:val="Sinespaciado"/>
        <w:ind w:left="709"/>
        <w:jc w:val="both"/>
        <w:rPr>
          <w:rFonts w:ascii="Tahoma" w:hAnsi="Tahoma" w:cs="Tahoma"/>
          <w:i/>
          <w:sz w:val="18"/>
          <w:szCs w:val="18"/>
          <w:lang w:val="es-ES_tradnl"/>
        </w:rPr>
      </w:pPr>
      <w:r>
        <w:rPr>
          <w:rFonts w:ascii="Tahoma" w:hAnsi="Tahoma" w:cs="Tahoma"/>
          <w:i/>
          <w:sz w:val="18"/>
          <w:szCs w:val="18"/>
          <w:lang w:val="es-ES_tradnl"/>
        </w:rPr>
        <w:t>b</w:t>
      </w:r>
      <w:r w:rsidRPr="00DA7A47">
        <w:rPr>
          <w:rFonts w:ascii="Tahoma" w:hAnsi="Tahoma" w:cs="Tahoma"/>
          <w:i/>
          <w:sz w:val="18"/>
          <w:szCs w:val="18"/>
          <w:lang w:val="es-ES_tradnl"/>
        </w:rPr>
        <w:t>) Den lugar a la resolución del contrato, orden de compra o de servicios por causal atribuible a su parte.</w:t>
      </w:r>
    </w:p>
    <w:p w:rsidR="00065C48" w:rsidRPr="00DA7A47" w:rsidRDefault="00065C48" w:rsidP="00065C48">
      <w:pPr>
        <w:pStyle w:val="Sinespaciado"/>
        <w:ind w:left="709"/>
        <w:jc w:val="both"/>
        <w:rPr>
          <w:rFonts w:ascii="Tahoma" w:hAnsi="Tahoma" w:cs="Tahoma"/>
          <w:i/>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895" w:rsidRDefault="000C3895" w:rsidP="000C389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C3895" w:rsidRDefault="000C3895" w:rsidP="000C3895">
    <w:pPr>
      <w:pStyle w:val="Encabezado"/>
      <w:rPr>
        <w:noProof/>
      </w:rPr>
    </w:pPr>
  </w:p>
  <w:p w:rsidR="000C3895" w:rsidRDefault="000C3895" w:rsidP="000C3895">
    <w:pPr>
      <w:pStyle w:val="Encabezado"/>
      <w:rPr>
        <w:noProof/>
      </w:rPr>
    </w:pPr>
  </w:p>
  <w:p w:rsidR="000C3895" w:rsidRDefault="000C3895" w:rsidP="000C3895">
    <w:pPr>
      <w:pStyle w:val="Encabezado"/>
      <w:rPr>
        <w:noProof/>
      </w:rPr>
    </w:pPr>
  </w:p>
  <w:p w:rsidR="000C3895" w:rsidRDefault="000C3895" w:rsidP="000C3895">
    <w:pPr>
      <w:pStyle w:val="Encabezado"/>
      <w:jc w:val="center"/>
    </w:pPr>
    <w:r>
      <w:rPr>
        <w:rFonts w:ascii="Monotype Corsiva" w:hAnsi="Monotype Corsiva"/>
        <w:b/>
        <w:sz w:val="44"/>
        <w:szCs w:val="44"/>
      </w:rPr>
      <w:t xml:space="preserve">Resolución Nº   </w:t>
    </w:r>
    <w:r>
      <w:rPr>
        <w:rFonts w:ascii="Tahoma" w:hAnsi="Tahoma" w:cs="Tahoma"/>
        <w:b/>
        <w:sz w:val="44"/>
        <w:szCs w:val="44"/>
      </w:rPr>
      <w:t>688-2011-TC-S1</w:t>
    </w:r>
  </w:p>
  <w:p w:rsidR="000C3895" w:rsidRDefault="000C389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
    <w:nsid w:val="1B0B377A"/>
    <w:multiLevelType w:val="hybridMultilevel"/>
    <w:tmpl w:val="232251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43A432AF"/>
    <w:multiLevelType w:val="hybridMultilevel"/>
    <w:tmpl w:val="31AAB2B4"/>
    <w:lvl w:ilvl="0" w:tplc="1276A472">
      <w:start w:val="1"/>
      <w:numFmt w:val="upperRoman"/>
      <w:lvlText w:val="%1."/>
      <w:lvlJc w:val="left"/>
      <w:pPr>
        <w:ind w:left="1647" w:hanging="72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29473EF"/>
    <w:multiLevelType w:val="hybridMultilevel"/>
    <w:tmpl w:val="B5D2C368"/>
    <w:lvl w:ilvl="0" w:tplc="0C0A0013">
      <w:start w:val="1"/>
      <w:numFmt w:val="upperRoman"/>
      <w:lvlText w:val="%1."/>
      <w:lvlJc w:val="right"/>
      <w:pPr>
        <w:ind w:left="1287" w:hanging="360"/>
      </w:pPr>
      <w:rPr>
        <w:rFont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nsid w:val="7D771581"/>
    <w:multiLevelType w:val="hybridMultilevel"/>
    <w:tmpl w:val="D4D4755C"/>
    <w:lvl w:ilvl="0" w:tplc="F04AE5F6">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5"/>
  </w:num>
  <w:num w:numId="2">
    <w:abstractNumId w:val="3"/>
  </w:num>
  <w:num w:numId="3">
    <w:abstractNumId w:val="8"/>
  </w:num>
  <w:num w:numId="4">
    <w:abstractNumId w:val="6"/>
  </w:num>
  <w:num w:numId="5">
    <w:abstractNumId w:val="0"/>
  </w:num>
  <w:num w:numId="6">
    <w:abstractNumId w:val="7"/>
  </w:num>
  <w:num w:numId="7">
    <w:abstractNumId w:val="1"/>
  </w:num>
  <w:num w:numId="8">
    <w:abstractNumId w:val="4"/>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65C48"/>
    <w:rsid w:val="0003483E"/>
    <w:rsid w:val="00065C48"/>
    <w:rsid w:val="0007250D"/>
    <w:rsid w:val="000C3895"/>
    <w:rsid w:val="00196655"/>
    <w:rsid w:val="00277E3B"/>
    <w:rsid w:val="004673B7"/>
    <w:rsid w:val="00496AD0"/>
    <w:rsid w:val="00BC5452"/>
    <w:rsid w:val="00CF1E2D"/>
    <w:rsid w:val="00E7106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C4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65C48"/>
    <w:pPr>
      <w:spacing w:after="120"/>
    </w:pPr>
    <w:rPr>
      <w:sz w:val="16"/>
      <w:szCs w:val="16"/>
      <w:lang w:val="es-PE"/>
    </w:rPr>
  </w:style>
  <w:style w:type="character" w:customStyle="1" w:styleId="Textoindependiente3Car">
    <w:name w:val="Texto independiente 3 Car"/>
    <w:basedOn w:val="Fuentedeprrafopredeter"/>
    <w:link w:val="Textoindependiente3"/>
    <w:rsid w:val="00065C48"/>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65C48"/>
    <w:pPr>
      <w:jc w:val="both"/>
    </w:pPr>
    <w:rPr>
      <w:rFonts w:ascii="Tahoma" w:hAnsi="Tahoma"/>
      <w:sz w:val="22"/>
      <w:szCs w:val="20"/>
    </w:rPr>
  </w:style>
  <w:style w:type="paragraph" w:styleId="Prrafodelista">
    <w:name w:val="List Paragraph"/>
    <w:basedOn w:val="Normal"/>
    <w:qFormat/>
    <w:rsid w:val="00065C48"/>
    <w:pPr>
      <w:widowControl w:val="0"/>
      <w:suppressAutoHyphens/>
      <w:ind w:left="708"/>
    </w:pPr>
    <w:rPr>
      <w:szCs w:val="20"/>
      <w:lang w:val="es-ES_tradnl"/>
    </w:rPr>
  </w:style>
  <w:style w:type="paragraph" w:styleId="Piedepgina">
    <w:name w:val="footer"/>
    <w:basedOn w:val="Normal"/>
    <w:link w:val="PiedepginaCar"/>
    <w:uiPriority w:val="99"/>
    <w:unhideWhenUsed/>
    <w:rsid w:val="00065C48"/>
    <w:pPr>
      <w:tabs>
        <w:tab w:val="center" w:pos="4252"/>
        <w:tab w:val="right" w:pos="8504"/>
      </w:tabs>
    </w:pPr>
  </w:style>
  <w:style w:type="character" w:customStyle="1" w:styleId="PiedepginaCar">
    <w:name w:val="Pie de página Car"/>
    <w:basedOn w:val="Fuentedeprrafopredeter"/>
    <w:link w:val="Piedepgina"/>
    <w:uiPriority w:val="99"/>
    <w:rsid w:val="00065C48"/>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
    <w:basedOn w:val="Normal"/>
    <w:link w:val="TextonotapieCar"/>
    <w:rsid w:val="00065C48"/>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065C48"/>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065C48"/>
    <w:rPr>
      <w:rFonts w:cs="Times New Roman"/>
      <w:vertAlign w:val="superscript"/>
    </w:rPr>
  </w:style>
  <w:style w:type="paragraph" w:styleId="Sangradetextonormal">
    <w:name w:val="Body Text Indent"/>
    <w:basedOn w:val="Normal"/>
    <w:link w:val="SangradetextonormalCar"/>
    <w:uiPriority w:val="99"/>
    <w:rsid w:val="00065C48"/>
    <w:pPr>
      <w:spacing w:after="120"/>
      <w:ind w:left="283"/>
    </w:pPr>
  </w:style>
  <w:style w:type="character" w:customStyle="1" w:styleId="SangradetextonormalCar">
    <w:name w:val="Sangría de texto normal Car"/>
    <w:basedOn w:val="Fuentedeprrafopredeter"/>
    <w:link w:val="Sangradetextonormal"/>
    <w:uiPriority w:val="99"/>
    <w:rsid w:val="00065C48"/>
    <w:rPr>
      <w:rFonts w:ascii="Times New Roman" w:eastAsia="Times New Roman" w:hAnsi="Times New Roman" w:cs="Times New Roman"/>
      <w:sz w:val="24"/>
      <w:szCs w:val="24"/>
      <w:lang w:eastAsia="es-ES"/>
    </w:rPr>
  </w:style>
  <w:style w:type="paragraph" w:customStyle="1" w:styleId="p1">
    <w:name w:val="p1"/>
    <w:basedOn w:val="Normal"/>
    <w:rsid w:val="00065C48"/>
    <w:pPr>
      <w:widowControl w:val="0"/>
      <w:tabs>
        <w:tab w:val="left" w:pos="16640"/>
      </w:tabs>
      <w:suppressAutoHyphens/>
      <w:spacing w:line="240" w:lineRule="atLeast"/>
      <w:ind w:left="7600"/>
      <w:jc w:val="both"/>
    </w:pPr>
    <w:rPr>
      <w:rFonts w:ascii="Times" w:hAnsi="Times"/>
      <w:szCs w:val="20"/>
      <w:lang w:eastAsia="ar-SA"/>
    </w:rPr>
  </w:style>
  <w:style w:type="paragraph" w:styleId="Textodeglobo">
    <w:name w:val="Balloon Text"/>
    <w:basedOn w:val="Normal"/>
    <w:link w:val="TextodegloboCar"/>
    <w:uiPriority w:val="99"/>
    <w:semiHidden/>
    <w:unhideWhenUsed/>
    <w:rsid w:val="00065C48"/>
    <w:rPr>
      <w:rFonts w:ascii="Tahoma" w:hAnsi="Tahoma" w:cs="Tahoma"/>
      <w:sz w:val="16"/>
      <w:szCs w:val="16"/>
    </w:rPr>
  </w:style>
  <w:style w:type="character" w:customStyle="1" w:styleId="TextodegloboCar">
    <w:name w:val="Texto de globo Car"/>
    <w:basedOn w:val="Fuentedeprrafopredeter"/>
    <w:link w:val="Textodeglobo"/>
    <w:uiPriority w:val="99"/>
    <w:semiHidden/>
    <w:rsid w:val="00065C48"/>
    <w:rPr>
      <w:rFonts w:ascii="Tahoma" w:eastAsia="Times New Roman" w:hAnsi="Tahoma" w:cs="Tahoma"/>
      <w:sz w:val="16"/>
      <w:szCs w:val="16"/>
      <w:lang w:eastAsia="es-ES"/>
    </w:rPr>
  </w:style>
  <w:style w:type="paragraph" w:styleId="Lista3">
    <w:name w:val="List 3"/>
    <w:basedOn w:val="Normal"/>
    <w:uiPriority w:val="99"/>
    <w:unhideWhenUsed/>
    <w:rsid w:val="00065C48"/>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065C48"/>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semiHidden/>
    <w:unhideWhenUsed/>
    <w:rsid w:val="000C389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0C389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922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3300</Words>
  <Characters>18150</Characters>
  <Application>Microsoft Office Word</Application>
  <DocSecurity>0</DocSecurity>
  <Lines>151</Lines>
  <Paragraphs>42</Paragraphs>
  <ScaleCrop>false</ScaleCrop>
  <Company/>
  <LinksUpToDate>false</LinksUpToDate>
  <CharactersWithSpaces>21408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5</cp:revision>
  <cp:lastPrinted>2011-04-20T15:34:00Z</cp:lastPrinted>
  <dcterms:created xsi:type="dcterms:W3CDTF">2011-04-20T15:19:00Z</dcterms:created>
  <dcterms:modified xsi:type="dcterms:W3CDTF">2011-05-09T14:17:00Z</dcterms:modified>
</cp:coreProperties>
</file>